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77F" w:rsidRPr="004B12C5" w:rsidRDefault="003874D3" w:rsidP="00A92ADB">
      <w:pPr>
        <w:jc w:val="center"/>
        <w:rPr>
          <w:rFonts w:eastAsia="Calibri"/>
        </w:rPr>
      </w:pPr>
      <w:bookmarkStart w:id="0" w:name="_Hlk182255807"/>
      <w:r w:rsidRPr="004B12C5">
        <w:rPr>
          <w:rFonts w:eastAsia="Calibri"/>
        </w:rPr>
        <w:t>May</w:t>
      </w:r>
      <w:r w:rsidR="00914637" w:rsidRPr="004B12C5">
        <w:rPr>
          <w:rFonts w:eastAsia="Calibri"/>
        </w:rPr>
        <w:t xml:space="preserve"> </w:t>
      </w:r>
      <w:r w:rsidR="000A2034" w:rsidRPr="004B12C5">
        <w:rPr>
          <w:rFonts w:eastAsia="Calibri"/>
        </w:rPr>
        <w:t>1</w:t>
      </w:r>
      <w:r w:rsidR="00A92ADB">
        <w:rPr>
          <w:rFonts w:eastAsia="Calibri"/>
        </w:rPr>
        <w:t>9</w:t>
      </w:r>
      <w:r w:rsidR="008A5E2C" w:rsidRPr="004B12C5">
        <w:rPr>
          <w:rFonts w:eastAsia="Calibri"/>
        </w:rPr>
        <w:t>,</w:t>
      </w:r>
      <w:r w:rsidR="006E0554" w:rsidRPr="004B12C5">
        <w:rPr>
          <w:rFonts w:eastAsia="Calibri"/>
        </w:rPr>
        <w:t xml:space="preserve"> 202</w:t>
      </w:r>
      <w:r w:rsidR="00BC3ED9" w:rsidRPr="004B12C5">
        <w:rPr>
          <w:rFonts w:eastAsia="Calibri"/>
        </w:rPr>
        <w:t>6</w:t>
      </w:r>
    </w:p>
    <w:p w:rsidR="00570FB6" w:rsidRPr="004B12C5" w:rsidRDefault="009E1C8E" w:rsidP="00B9001A">
      <w:pPr>
        <w:rPr>
          <w:rFonts w:eastAsia="Calibri"/>
        </w:rPr>
      </w:pPr>
      <w:r w:rsidRPr="004B12C5">
        <w:rPr>
          <w:rFonts w:eastAsia="Calibri"/>
        </w:rPr>
        <w:t>T</w:t>
      </w:r>
      <w:r w:rsidR="000A52A3" w:rsidRPr="004B12C5">
        <w:rPr>
          <w:rFonts w:eastAsia="Calibri"/>
        </w:rPr>
        <w:t xml:space="preserve">he Bremer County Board of Supervisors met in session on </w:t>
      </w:r>
      <w:r w:rsidR="00DA5E04" w:rsidRPr="004B12C5">
        <w:rPr>
          <w:rFonts w:eastAsia="Calibri"/>
        </w:rPr>
        <w:t xml:space="preserve">Tuesday, </w:t>
      </w:r>
      <w:r w:rsidR="00552C4E" w:rsidRPr="004B12C5">
        <w:rPr>
          <w:rFonts w:eastAsia="Calibri"/>
        </w:rPr>
        <w:t xml:space="preserve">May </w:t>
      </w:r>
      <w:r w:rsidR="000A2034" w:rsidRPr="004B12C5">
        <w:rPr>
          <w:rFonts w:eastAsia="Calibri"/>
        </w:rPr>
        <w:t>1</w:t>
      </w:r>
      <w:r w:rsidR="00A92ADB">
        <w:rPr>
          <w:rFonts w:eastAsia="Calibri"/>
        </w:rPr>
        <w:t>9</w:t>
      </w:r>
      <w:r w:rsidR="00534626" w:rsidRPr="004B12C5">
        <w:rPr>
          <w:rFonts w:eastAsia="Calibri"/>
        </w:rPr>
        <w:t>, 202</w:t>
      </w:r>
      <w:r w:rsidR="003D6AE0" w:rsidRPr="004B12C5">
        <w:rPr>
          <w:rFonts w:eastAsia="Calibri"/>
        </w:rPr>
        <w:t>6</w:t>
      </w:r>
      <w:r w:rsidR="00534626" w:rsidRPr="004B12C5">
        <w:rPr>
          <w:rFonts w:eastAsia="Calibri"/>
        </w:rPr>
        <w:t xml:space="preserve"> </w:t>
      </w:r>
      <w:r w:rsidR="00476DB9" w:rsidRPr="004B12C5">
        <w:rPr>
          <w:rFonts w:eastAsia="Calibri"/>
        </w:rPr>
        <w:t>in the</w:t>
      </w:r>
      <w:r w:rsidR="00534626" w:rsidRPr="004B12C5">
        <w:rPr>
          <w:rFonts w:eastAsia="Calibri"/>
        </w:rPr>
        <w:t xml:space="preserve"> </w:t>
      </w:r>
      <w:r w:rsidR="000A52A3" w:rsidRPr="004B12C5">
        <w:rPr>
          <w:rFonts w:eastAsia="Calibri"/>
        </w:rPr>
        <w:t xml:space="preserve">Courthouse, Waverly, Iowa, at </w:t>
      </w:r>
      <w:r w:rsidR="00B713D4" w:rsidRPr="004B12C5">
        <w:rPr>
          <w:rFonts w:eastAsia="Calibri"/>
        </w:rPr>
        <w:t>9</w:t>
      </w:r>
      <w:r w:rsidR="000A52A3" w:rsidRPr="004B12C5">
        <w:rPr>
          <w:rFonts w:eastAsia="Calibri"/>
        </w:rPr>
        <w:t>:</w:t>
      </w:r>
      <w:r w:rsidR="00A92ADB">
        <w:rPr>
          <w:rFonts w:eastAsia="Calibri"/>
        </w:rPr>
        <w:t>00</w:t>
      </w:r>
      <w:r w:rsidR="000A52A3" w:rsidRPr="004B12C5">
        <w:rPr>
          <w:rFonts w:eastAsia="Calibri"/>
        </w:rPr>
        <w:t xml:space="preserve"> a.m.</w:t>
      </w:r>
      <w:r w:rsidR="007B6FF7" w:rsidRPr="004B12C5">
        <w:rPr>
          <w:rFonts w:eastAsia="Calibri"/>
        </w:rPr>
        <w:t xml:space="preserve"> </w:t>
      </w:r>
      <w:r w:rsidR="003D6AE0" w:rsidRPr="004B12C5">
        <w:rPr>
          <w:rFonts w:eastAsia="Calibri"/>
        </w:rPr>
        <w:t>Brunkhorst</w:t>
      </w:r>
      <w:r w:rsidR="006C6DFA" w:rsidRPr="004B12C5">
        <w:rPr>
          <w:rFonts w:eastAsia="Calibri"/>
        </w:rPr>
        <w:t xml:space="preserve">, </w:t>
      </w:r>
      <w:r w:rsidR="003D6AE0" w:rsidRPr="004B12C5">
        <w:rPr>
          <w:rFonts w:eastAsia="Calibri"/>
        </w:rPr>
        <w:t>Cerwinske</w:t>
      </w:r>
      <w:r w:rsidR="00D75936" w:rsidRPr="004B12C5">
        <w:rPr>
          <w:rFonts w:eastAsia="Calibri"/>
        </w:rPr>
        <w:t xml:space="preserve">, </w:t>
      </w:r>
      <w:r w:rsidR="00570FB6" w:rsidRPr="004B12C5">
        <w:rPr>
          <w:rFonts w:eastAsia="Calibri"/>
        </w:rPr>
        <w:t>Hildebrandt</w:t>
      </w:r>
      <w:r w:rsidR="003D6AE0" w:rsidRPr="004B12C5">
        <w:rPr>
          <w:rFonts w:eastAsia="Calibri"/>
        </w:rPr>
        <w:t xml:space="preserve"> present</w:t>
      </w:r>
      <w:r w:rsidR="00570FB6" w:rsidRPr="004B12C5">
        <w:rPr>
          <w:rFonts w:eastAsia="Calibri"/>
        </w:rPr>
        <w:t>.</w:t>
      </w:r>
      <w:r w:rsidR="00570FB6" w:rsidRPr="004B12C5">
        <w:t xml:space="preserve"> </w:t>
      </w:r>
      <w:r w:rsidR="004C06A3" w:rsidRPr="004B12C5">
        <w:t xml:space="preserve">Kassandra Johansen, Finance Director, also present. </w:t>
      </w:r>
      <w:r w:rsidR="00570FB6" w:rsidRPr="004B12C5">
        <w:t xml:space="preserve">Unless otherwise noted all actions were approved unanimously. Some Resolutions and Ordinances herein are summary descriptions, full text is available for viewing online at: </w:t>
      </w:r>
      <w:hyperlink r:id="rId7" w:history="1">
        <w:r w:rsidR="00570FB6" w:rsidRPr="004B12C5">
          <w:rPr>
            <w:rStyle w:val="Hyperlink"/>
            <w:color w:val="auto"/>
            <w:u w:val="none"/>
          </w:rPr>
          <w:t>https://www.bremercounty.iowa.gov/government/resolutions_and_ordinances.php</w:t>
        </w:r>
      </w:hyperlink>
      <w:r w:rsidR="00570FB6" w:rsidRPr="004B12C5">
        <w:t xml:space="preserve"> and also available M – F 8:00 </w:t>
      </w:r>
      <w:r w:rsidR="00A15413" w:rsidRPr="004B12C5">
        <w:t>A.M.</w:t>
      </w:r>
      <w:r w:rsidR="00570FB6" w:rsidRPr="004B12C5">
        <w:t xml:space="preserve"> to 4:30 PM in the Bremer County Auditor’s office.</w:t>
      </w:r>
    </w:p>
    <w:p w:rsidR="000A52A3" w:rsidRPr="004B12C5" w:rsidRDefault="000A52A3" w:rsidP="00B9001A">
      <w:pPr>
        <w:rPr>
          <w:rFonts w:eastAsia="Calibri"/>
        </w:rPr>
      </w:pPr>
      <w:bookmarkStart w:id="1" w:name="_GoBack"/>
      <w:bookmarkEnd w:id="1"/>
    </w:p>
    <w:p w:rsidR="00570FB6" w:rsidRPr="004B12C5" w:rsidRDefault="00570FB6" w:rsidP="00B9001A">
      <w:pPr>
        <w:rPr>
          <w:rFonts w:eastAsia="Calibri"/>
        </w:rPr>
      </w:pPr>
      <w:r w:rsidRPr="004B12C5">
        <w:t>Following the Pledge of Allegiance, the m</w:t>
      </w:r>
      <w:r w:rsidRPr="004B12C5">
        <w:rPr>
          <w:rFonts w:eastAsia="Calibri"/>
        </w:rPr>
        <w:t xml:space="preserve">eeting was called to order by Chairman </w:t>
      </w:r>
      <w:r w:rsidR="003D6AE0" w:rsidRPr="004B12C5">
        <w:rPr>
          <w:rFonts w:eastAsia="Calibri"/>
        </w:rPr>
        <w:t>Brunkhorst</w:t>
      </w:r>
      <w:r w:rsidRPr="004B12C5">
        <w:rPr>
          <w:rFonts w:eastAsia="Calibri"/>
        </w:rPr>
        <w:t xml:space="preserve">. </w:t>
      </w:r>
    </w:p>
    <w:p w:rsidR="00B029DB" w:rsidRPr="004B12C5" w:rsidRDefault="00AF472B" w:rsidP="00B9001A">
      <w:r w:rsidRPr="004B12C5">
        <w:rPr>
          <w:rFonts w:eastAsia="Calibri"/>
        </w:rPr>
        <w:t xml:space="preserve">Cerwinske moved/Hildebrandt second </w:t>
      </w:r>
      <w:r w:rsidR="00BA3D61" w:rsidRPr="004B12C5">
        <w:rPr>
          <w:rFonts w:eastAsia="Calibri"/>
        </w:rPr>
        <w:t>to</w:t>
      </w:r>
      <w:r w:rsidR="00C456CC" w:rsidRPr="004B12C5">
        <w:t xml:space="preserve"> </w:t>
      </w:r>
      <w:r w:rsidR="000A52A3" w:rsidRPr="004B12C5">
        <w:rPr>
          <w:rFonts w:eastAsia="Calibri"/>
        </w:rPr>
        <w:t>approve the agenda</w:t>
      </w:r>
      <w:r w:rsidR="00245887" w:rsidRPr="004B12C5">
        <w:rPr>
          <w:rFonts w:eastAsia="Calibri"/>
        </w:rPr>
        <w:t>.</w:t>
      </w:r>
    </w:p>
    <w:p w:rsidR="00337DAB" w:rsidRPr="004B12C5" w:rsidRDefault="00337DAB" w:rsidP="00B9001A"/>
    <w:p w:rsidR="00D34F95" w:rsidRPr="004B12C5" w:rsidRDefault="002D56BA" w:rsidP="00B9001A">
      <w:pPr>
        <w:rPr>
          <w:rFonts w:eastAsia="Calibri"/>
        </w:rPr>
      </w:pPr>
      <w:r w:rsidRPr="004B12C5">
        <w:rPr>
          <w:rFonts w:eastAsia="Calibri"/>
        </w:rPr>
        <w:t xml:space="preserve">Hildebrandt moved/Cerwinske </w:t>
      </w:r>
      <w:r w:rsidR="00761842" w:rsidRPr="004B12C5">
        <w:rPr>
          <w:rFonts w:eastAsia="Calibri"/>
        </w:rPr>
        <w:t>second</w:t>
      </w:r>
      <w:r w:rsidR="00D34F95" w:rsidRPr="004B12C5">
        <w:rPr>
          <w:rFonts w:eastAsia="Calibri"/>
        </w:rPr>
        <w:t xml:space="preserve"> to approve the </w:t>
      </w:r>
      <w:r w:rsidR="00E7177F" w:rsidRPr="004B12C5">
        <w:rPr>
          <w:rFonts w:eastAsia="Calibri"/>
        </w:rPr>
        <w:t>5</w:t>
      </w:r>
      <w:r w:rsidR="00D34F95" w:rsidRPr="004B12C5">
        <w:rPr>
          <w:rFonts w:eastAsia="Calibri"/>
        </w:rPr>
        <w:t>/</w:t>
      </w:r>
      <w:r w:rsidR="00AF472B">
        <w:rPr>
          <w:rFonts w:eastAsia="Calibri"/>
        </w:rPr>
        <w:t>12</w:t>
      </w:r>
      <w:r w:rsidR="00D34F95" w:rsidRPr="004B12C5">
        <w:rPr>
          <w:rFonts w:eastAsia="Calibri"/>
        </w:rPr>
        <w:t>/2</w:t>
      </w:r>
      <w:r w:rsidR="00D4454F" w:rsidRPr="004B12C5">
        <w:rPr>
          <w:rFonts w:eastAsia="Calibri"/>
        </w:rPr>
        <w:t>6</w:t>
      </w:r>
      <w:r w:rsidR="00D34F95" w:rsidRPr="004B12C5">
        <w:rPr>
          <w:rFonts w:eastAsia="Calibri"/>
        </w:rPr>
        <w:t xml:space="preserve"> minutes.</w:t>
      </w:r>
    </w:p>
    <w:p w:rsidR="000C7F11" w:rsidRPr="004B12C5" w:rsidRDefault="000C7F11" w:rsidP="00B9001A">
      <w:pPr>
        <w:rPr>
          <w:rFonts w:eastAsia="Calibri"/>
        </w:rPr>
      </w:pPr>
    </w:p>
    <w:p w:rsidR="003748AE" w:rsidRPr="004B12C5" w:rsidRDefault="00E7177F" w:rsidP="00B9001A">
      <w:pPr>
        <w:rPr>
          <w:rFonts w:eastAsia="Calibri"/>
        </w:rPr>
      </w:pPr>
      <w:r w:rsidRPr="004B12C5">
        <w:rPr>
          <w:rFonts w:eastAsia="Calibri"/>
        </w:rPr>
        <w:t xml:space="preserve">Cerwinske moved/Hildebrandt </w:t>
      </w:r>
      <w:r w:rsidR="000C7F11" w:rsidRPr="004B12C5">
        <w:rPr>
          <w:rFonts w:eastAsia="Calibri"/>
        </w:rPr>
        <w:t>second</w:t>
      </w:r>
      <w:r w:rsidR="000C7F11" w:rsidRPr="004B12C5">
        <w:t xml:space="preserve"> </w:t>
      </w:r>
      <w:r w:rsidR="003748AE" w:rsidRPr="004B12C5">
        <w:rPr>
          <w:rFonts w:eastAsia="Calibri"/>
        </w:rPr>
        <w:t>to approve claims as listed below and authorize Auditor to issue checks.</w:t>
      </w:r>
      <w:r w:rsidR="00356780" w:rsidRPr="004B12C5">
        <w:rPr>
          <w:rFonts w:eastAsia="Calibri"/>
        </w:rPr>
        <w:t xml:space="preserve"> </w:t>
      </w:r>
    </w:p>
    <w:p w:rsidR="00337DAB" w:rsidRPr="004B12C5" w:rsidRDefault="00337DAB" w:rsidP="00B9001A">
      <w:pPr>
        <w:rPr>
          <w:rFonts w:eastAsia="Calibri"/>
        </w:rPr>
      </w:pPr>
    </w:p>
    <w:p w:rsidR="0090358D" w:rsidRDefault="00E7177F" w:rsidP="00E7177F">
      <w:pPr>
        <w:rPr>
          <w:rFonts w:eastAsia="Calibri"/>
        </w:rPr>
      </w:pPr>
      <w:r w:rsidRPr="004B12C5">
        <w:rPr>
          <w:rFonts w:eastAsia="Calibri"/>
        </w:rPr>
        <w:t xml:space="preserve">Hildebrandt moved/Cerwinske </w:t>
      </w:r>
      <w:r w:rsidR="00C150B3" w:rsidRPr="004B12C5">
        <w:rPr>
          <w:rFonts w:eastAsia="Calibri"/>
        </w:rPr>
        <w:t xml:space="preserve">second </w:t>
      </w:r>
      <w:r w:rsidR="00337DAB" w:rsidRPr="004B12C5">
        <w:rPr>
          <w:rFonts w:eastAsia="Calibri"/>
        </w:rPr>
        <w:t xml:space="preserve">to approve </w:t>
      </w:r>
      <w:r w:rsidR="0090358D">
        <w:rPr>
          <w:rFonts w:eastAsia="Calibri"/>
        </w:rPr>
        <w:t xml:space="preserve">a </w:t>
      </w:r>
      <w:r w:rsidR="00337DAB" w:rsidRPr="004B12C5">
        <w:rPr>
          <w:rFonts w:eastAsia="Calibri"/>
        </w:rPr>
        <w:t xml:space="preserve">payroll </w:t>
      </w:r>
      <w:r w:rsidR="0090358D">
        <w:rPr>
          <w:rFonts w:eastAsia="Calibri"/>
        </w:rPr>
        <w:t>addition</w:t>
      </w:r>
      <w:r w:rsidR="00337DAB" w:rsidRPr="004B12C5">
        <w:rPr>
          <w:rFonts w:eastAsia="Calibri"/>
        </w:rPr>
        <w:t xml:space="preserve"> </w:t>
      </w:r>
      <w:r w:rsidR="00DE09BD" w:rsidRPr="004B12C5">
        <w:rPr>
          <w:rFonts w:eastAsia="Calibri"/>
        </w:rPr>
        <w:t>for</w:t>
      </w:r>
      <w:r w:rsidR="00A26860" w:rsidRPr="004B12C5">
        <w:rPr>
          <w:rFonts w:eastAsia="Calibri"/>
        </w:rPr>
        <w:t xml:space="preserve"> </w:t>
      </w:r>
      <w:r w:rsidR="0090358D">
        <w:rPr>
          <w:rFonts w:eastAsia="Calibri"/>
        </w:rPr>
        <w:t xml:space="preserve">Nathan Schlueter, Conservation seasonal, $14/hr. effective 5/26/26; CBS </w:t>
      </w:r>
      <w:r w:rsidR="005A788C">
        <w:rPr>
          <w:rFonts w:eastAsia="Calibri"/>
        </w:rPr>
        <w:t xml:space="preserve">step increase </w:t>
      </w:r>
      <w:r w:rsidR="0090358D">
        <w:rPr>
          <w:rFonts w:eastAsia="Calibri"/>
        </w:rPr>
        <w:t xml:space="preserve">payroll changes for Gina Mendoza, Direct Care Staff, from </w:t>
      </w:r>
      <w:r w:rsidR="0005790F">
        <w:rPr>
          <w:rFonts w:eastAsia="Calibri"/>
        </w:rPr>
        <w:t xml:space="preserve">$17/hr./$10.30/hr. sleep time to $17.25/hr./$10.40/hr. sleep time, effective 6/6/26; </w:t>
      </w:r>
      <w:r w:rsidR="001F3C8A">
        <w:rPr>
          <w:rFonts w:eastAsia="Calibri"/>
        </w:rPr>
        <w:t xml:space="preserve">Sary Stewart, Billing &amp; Account Clerk, from </w:t>
      </w:r>
      <w:r w:rsidR="005A788C">
        <w:rPr>
          <w:rFonts w:eastAsia="Calibri"/>
        </w:rPr>
        <w:t>$25.25/hr. to $25.50/hr.,</w:t>
      </w:r>
      <w:r w:rsidR="005A788C" w:rsidRPr="005A788C">
        <w:rPr>
          <w:rFonts w:eastAsia="Calibri"/>
        </w:rPr>
        <w:t xml:space="preserve"> </w:t>
      </w:r>
      <w:r w:rsidR="005A788C">
        <w:rPr>
          <w:rFonts w:eastAsia="Calibri"/>
        </w:rPr>
        <w:t xml:space="preserve">effective 6/1/26. </w:t>
      </w:r>
    </w:p>
    <w:p w:rsidR="0090358D" w:rsidRDefault="0090358D" w:rsidP="00E7177F">
      <w:pPr>
        <w:rPr>
          <w:rFonts w:eastAsia="Calibri"/>
        </w:rPr>
      </w:pPr>
    </w:p>
    <w:p w:rsidR="0090358D" w:rsidRDefault="005A788C" w:rsidP="00E7177F">
      <w:pPr>
        <w:rPr>
          <w:rFonts w:eastAsia="Calibri"/>
        </w:rPr>
      </w:pPr>
      <w:r w:rsidRPr="004B12C5">
        <w:t>Cerwinske moved/Hildebrandt second to</w:t>
      </w:r>
      <w:r>
        <w:t xml:space="preserve"> approve Treasurer’s Office hourly staff wage increases. Following discussion </w:t>
      </w:r>
      <w:r w:rsidR="00C30910">
        <w:t>regarding timing of fiscal year wage increases, vote on the motion was: Ayes: None, Nays: All.</w:t>
      </w:r>
    </w:p>
    <w:p w:rsidR="00E7177F" w:rsidRDefault="00E7177F" w:rsidP="00E7177F">
      <w:pPr>
        <w:rPr>
          <w:rFonts w:eastAsia="Calibri"/>
        </w:rPr>
      </w:pPr>
    </w:p>
    <w:p w:rsidR="003029BA" w:rsidRPr="009A3153" w:rsidRDefault="00B93055" w:rsidP="003029BA">
      <w:r w:rsidRPr="00B93055">
        <w:t xml:space="preserve">Hildebrandt moved/Cerwinske second to </w:t>
      </w:r>
      <w:r>
        <w:t xml:space="preserve">adopt </w:t>
      </w:r>
      <w:r w:rsidR="003029BA">
        <w:t xml:space="preserve">RESOLUTION NO. </w:t>
      </w:r>
      <w:r w:rsidR="003029BA" w:rsidRPr="00483950">
        <w:t>26-34</w:t>
      </w:r>
      <w:r w:rsidR="001C417F">
        <w:t>:</w:t>
      </w:r>
      <w:r w:rsidR="003029BA">
        <w:t xml:space="preserve"> SUSPENSION OF TAXES TAX YEAR 2025. WHEREAS, Section 427.9 of the Code of Iowa requires the Board of Supervisors of Bremer County Iowa to order the Treasurer to suspend the collection of all the taxes, special assessments, and rates or charges, including interest, fees, and costs, assessed against the parcels and remaining unpaid for those individuals that present to the county board of supervisors evidence they are receiving federal supplementary security income or state supplementary, as defined in section 249.1, or are a resident of a health care facility, as defined by section 135C.1, which is receiving payment from the department of human services for the person’s care; WHEREAS, the eligibility for continued tax suspension of the individuals owning Parcels 0133200014, and 0714200002 have been verified by the Iowa Department of Human Services as required annually under Section 427.9 of the Code of Iowa; THEREFORE, the Board of Supervisors of Bremer County Iowa directs the Treasurer to suspend the collection of all the taxes, special assessments, and rates or charges, including interest, fees, and costs, assessed against the Parcels 0133200014, and 0714200002 for tax year 2025. </w:t>
      </w:r>
      <w:r w:rsidR="003029BA" w:rsidRPr="009A3153">
        <w:t>So passed and adopted this</w:t>
      </w:r>
      <w:r w:rsidR="003029BA">
        <w:t xml:space="preserve"> 19</w:t>
      </w:r>
      <w:r w:rsidR="003029BA" w:rsidRPr="00A12D29">
        <w:rPr>
          <w:vertAlign w:val="superscript"/>
        </w:rPr>
        <w:t>th</w:t>
      </w:r>
      <w:r w:rsidR="003029BA">
        <w:t xml:space="preserve"> </w:t>
      </w:r>
      <w:r w:rsidR="003029BA" w:rsidRPr="009A3153">
        <w:t>day of</w:t>
      </w:r>
      <w:r w:rsidR="003029BA">
        <w:t xml:space="preserve"> May, 2026</w:t>
      </w:r>
      <w:r w:rsidR="003029BA" w:rsidRPr="009A3153">
        <w:t>.</w:t>
      </w:r>
    </w:p>
    <w:p w:rsidR="003029BA" w:rsidRDefault="003029BA" w:rsidP="00E7177F">
      <w:pPr>
        <w:rPr>
          <w:rFonts w:eastAsia="Calibri"/>
        </w:rPr>
      </w:pPr>
    </w:p>
    <w:p w:rsidR="003029BA" w:rsidRDefault="00B93055" w:rsidP="00E7177F">
      <w:r w:rsidRPr="00B93055">
        <w:t>Hildebrandt moved/Cerwinske second to</w:t>
      </w:r>
      <w:r>
        <w:t xml:space="preserve"> r</w:t>
      </w:r>
      <w:r w:rsidRPr="00B93055">
        <w:t>atify</w:t>
      </w:r>
      <w:r>
        <w:t xml:space="preserve"> </w:t>
      </w:r>
      <w:r w:rsidR="007E6912">
        <w:t xml:space="preserve">the City of Readlyn’s </w:t>
      </w:r>
      <w:r w:rsidR="004E330A">
        <w:t xml:space="preserve">rural Library Trustee appointee, </w:t>
      </w:r>
      <w:r w:rsidRPr="00B93055">
        <w:t>Glenda Kleitsch</w:t>
      </w:r>
      <w:r w:rsidR="004E330A">
        <w:t>,</w:t>
      </w:r>
      <w:r>
        <w:t xml:space="preserve"> </w:t>
      </w:r>
      <w:r w:rsidR="004E330A">
        <w:t xml:space="preserve">to the </w:t>
      </w:r>
      <w:r w:rsidRPr="00B93055">
        <w:t>Readl</w:t>
      </w:r>
      <w:r>
        <w:t xml:space="preserve">yn </w:t>
      </w:r>
      <w:r w:rsidR="004E330A">
        <w:t xml:space="preserve">Community </w:t>
      </w:r>
      <w:r>
        <w:t>Library Board</w:t>
      </w:r>
      <w:r w:rsidR="004E330A">
        <w:t>.</w:t>
      </w:r>
    </w:p>
    <w:p w:rsidR="004E330A" w:rsidRDefault="004E330A" w:rsidP="00E7177F">
      <w:pPr>
        <w:rPr>
          <w:rFonts w:eastAsia="Calibri"/>
        </w:rPr>
      </w:pPr>
    </w:p>
    <w:p w:rsidR="000D401E" w:rsidRPr="004B12C5" w:rsidRDefault="000D401E" w:rsidP="000D401E">
      <w:pPr>
        <w:tabs>
          <w:tab w:val="left" w:pos="180"/>
          <w:tab w:val="left" w:pos="2340"/>
          <w:tab w:val="left" w:pos="4320"/>
          <w:tab w:val="left" w:pos="6750"/>
        </w:tabs>
        <w:rPr>
          <w:rFonts w:eastAsia="Calibri"/>
          <w:bCs/>
        </w:rPr>
      </w:pPr>
      <w:r w:rsidRPr="004B12C5">
        <w:rPr>
          <w:rFonts w:eastAsia="Calibri"/>
          <w:bCs/>
        </w:rPr>
        <w:lastRenderedPageBreak/>
        <w:t xml:space="preserve">Board/Committee updates: </w:t>
      </w:r>
      <w:r>
        <w:rPr>
          <w:rFonts w:eastAsia="Calibri"/>
          <w:bCs/>
        </w:rPr>
        <w:t xml:space="preserve">Cerwinske virtually attended </w:t>
      </w:r>
      <w:r w:rsidR="00823941">
        <w:rPr>
          <w:rFonts w:eastAsia="Calibri"/>
          <w:bCs/>
        </w:rPr>
        <w:t xml:space="preserve">Northeast IA </w:t>
      </w:r>
      <w:r>
        <w:rPr>
          <w:rFonts w:eastAsia="Calibri"/>
          <w:bCs/>
        </w:rPr>
        <w:t>Community Action</w:t>
      </w:r>
      <w:r w:rsidR="00823941">
        <w:rPr>
          <w:rFonts w:eastAsia="Calibri"/>
          <w:bCs/>
        </w:rPr>
        <w:t xml:space="preserve"> board</w:t>
      </w:r>
      <w:r>
        <w:rPr>
          <w:rFonts w:eastAsia="Calibri"/>
          <w:bCs/>
        </w:rPr>
        <w:t xml:space="preserve"> meeting</w:t>
      </w:r>
      <w:r w:rsidRPr="004B12C5">
        <w:rPr>
          <w:rFonts w:eastAsia="Calibri"/>
          <w:bCs/>
        </w:rPr>
        <w:t>.</w:t>
      </w:r>
    </w:p>
    <w:p w:rsidR="00483950" w:rsidRDefault="00483950" w:rsidP="00E7177F">
      <w:pPr>
        <w:rPr>
          <w:rFonts w:eastAsia="Calibri"/>
        </w:rPr>
      </w:pPr>
    </w:p>
    <w:p w:rsidR="00B93055" w:rsidRDefault="003029BA" w:rsidP="003029BA">
      <w:pPr>
        <w:rPr>
          <w:rFonts w:eastAsia="Calibri"/>
        </w:rPr>
      </w:pPr>
      <w:r w:rsidRPr="003029BA">
        <w:rPr>
          <w:rFonts w:eastAsia="Calibri"/>
        </w:rPr>
        <w:t>Hildebrandt moved/Cerwinske second to</w:t>
      </w:r>
      <w:r>
        <w:rPr>
          <w:rFonts w:eastAsia="Calibri"/>
        </w:rPr>
        <w:t xml:space="preserve"> open the Public Hearing </w:t>
      </w:r>
      <w:r w:rsidR="001C417F">
        <w:rPr>
          <w:rFonts w:eastAsia="Calibri"/>
        </w:rPr>
        <w:t>for</w:t>
      </w:r>
      <w:r>
        <w:rPr>
          <w:rFonts w:eastAsia="Calibri"/>
        </w:rPr>
        <w:t xml:space="preserve"> FY26 Budget </w:t>
      </w:r>
      <w:r w:rsidR="001C417F">
        <w:rPr>
          <w:rFonts w:eastAsia="Calibri"/>
        </w:rPr>
        <w:t>a</w:t>
      </w:r>
      <w:r>
        <w:rPr>
          <w:rFonts w:eastAsia="Calibri"/>
        </w:rPr>
        <w:t>mendment.</w:t>
      </w:r>
      <w:r w:rsidR="001C417F">
        <w:rPr>
          <w:rFonts w:eastAsia="Calibri"/>
        </w:rPr>
        <w:t xml:space="preserve"> No public present, no comments receive for or against.</w:t>
      </w:r>
      <w:r>
        <w:rPr>
          <w:rFonts w:eastAsia="Calibri"/>
        </w:rPr>
        <w:t xml:space="preserve"> </w:t>
      </w:r>
      <w:r w:rsidRPr="003029BA">
        <w:rPr>
          <w:rFonts w:eastAsia="Calibri"/>
        </w:rPr>
        <w:t>Hildebrandt moved/Cerwinske second to</w:t>
      </w:r>
      <w:r>
        <w:rPr>
          <w:rFonts w:eastAsia="Calibri"/>
        </w:rPr>
        <w:t xml:space="preserve"> close</w:t>
      </w:r>
      <w:r w:rsidRPr="003029BA">
        <w:rPr>
          <w:rFonts w:eastAsia="Calibri"/>
        </w:rPr>
        <w:t xml:space="preserve"> the Public Hearing</w:t>
      </w:r>
      <w:r>
        <w:rPr>
          <w:rFonts w:eastAsia="Calibri"/>
        </w:rPr>
        <w:t>.</w:t>
      </w:r>
      <w:r w:rsidR="00B93055">
        <w:rPr>
          <w:rFonts w:eastAsia="Calibri"/>
        </w:rPr>
        <w:t xml:space="preserve"> </w:t>
      </w:r>
    </w:p>
    <w:p w:rsidR="00B93055" w:rsidRDefault="00B93055" w:rsidP="003029BA">
      <w:pPr>
        <w:rPr>
          <w:rFonts w:eastAsia="Calibri"/>
        </w:rPr>
      </w:pPr>
    </w:p>
    <w:p w:rsidR="003029BA" w:rsidRDefault="003029BA" w:rsidP="003029BA">
      <w:r w:rsidRPr="003029BA">
        <w:rPr>
          <w:rFonts w:eastAsia="Calibri"/>
        </w:rPr>
        <w:t>Hildebrandt moved/Cerwinske second to</w:t>
      </w:r>
      <w:r>
        <w:rPr>
          <w:rFonts w:eastAsia="Calibri"/>
        </w:rPr>
        <w:t xml:space="preserve"> adopt </w:t>
      </w:r>
      <w:r>
        <w:t xml:space="preserve">RESOLUTION NO. </w:t>
      </w:r>
      <w:r w:rsidRPr="00483950">
        <w:t>26-35</w:t>
      </w:r>
      <w:r w:rsidR="001C417F">
        <w:t>:</w:t>
      </w:r>
      <w:r>
        <w:t xml:space="preserve"> FY26 Budget Amendment. WHEREAS the FY26 Budget originally adopted April 22, 2025 and amended on January 27, 2026 requires an increase in revenues for the departments of County Attorney, Elections, Local Option Sales Tax, Landfill Closure Department and a decrease in revenues for the Health Department and Non Departmental as well as an increase in expenditures for the departments of County Attorney, Elections, Courthouse, County Farm Site, County Engineer, and Landfill Closure Department and a decrease in expenditures for the departments of Local Option Sales Tax, Health Department, Mental Health and Non Departmental and WHEREAS a public hearing concerning the proposed amendment was held on May 19, 2026, THEREFORE, BE IT RESOLVED by the Board of Supervisors to amend the FY26 Budget as published and in accordance with Iowa Code Section 331.435. So Passed and Adopted this 19</w:t>
      </w:r>
      <w:r w:rsidRPr="007C0B3C">
        <w:rPr>
          <w:vertAlign w:val="superscript"/>
        </w:rPr>
        <w:t>th</w:t>
      </w:r>
      <w:r>
        <w:t xml:space="preserve"> Day of May, 2026.  </w:t>
      </w:r>
    </w:p>
    <w:p w:rsidR="003029BA" w:rsidRDefault="003029BA" w:rsidP="003029BA"/>
    <w:p w:rsidR="00F9107B" w:rsidRDefault="00B93055" w:rsidP="00F9107B">
      <w:r w:rsidRPr="00B93055">
        <w:rPr>
          <w:rFonts w:eastAsia="Calibri"/>
        </w:rPr>
        <w:t>Hildebrandt moved/Cerwinske second to adopt</w:t>
      </w:r>
      <w:r>
        <w:rPr>
          <w:rFonts w:eastAsia="Calibri"/>
        </w:rPr>
        <w:t xml:space="preserve"> </w:t>
      </w:r>
      <w:r w:rsidR="00F9107B">
        <w:t xml:space="preserve">RESOLUTION </w:t>
      </w:r>
      <w:r w:rsidR="001C417F">
        <w:t>NO.</w:t>
      </w:r>
      <w:r w:rsidR="00F9107B">
        <w:t xml:space="preserve"> 26-36</w:t>
      </w:r>
      <w:r w:rsidR="001C417F">
        <w:t>:</w:t>
      </w:r>
      <w:r>
        <w:t xml:space="preserve"> </w:t>
      </w:r>
      <w:r w:rsidR="00F9107B">
        <w:t>FY26 Budget Amendment Appropriation</w:t>
      </w:r>
      <w:r>
        <w:t xml:space="preserve">. </w:t>
      </w:r>
      <w:r w:rsidR="00F9107B">
        <w:t>WHEREAS the FY26 Budget was amended to account for increases in expenditures adopted in the original published budget:</w:t>
      </w:r>
      <w:r>
        <w:t xml:space="preserve"> </w:t>
      </w:r>
      <w:r w:rsidR="00F9107B">
        <w:t>BE IT RESOLVED by the Board of Supervisors of Bremer County, Iowa that the following appropriation changes are made to the respective department for fiscal year ending June 30, 2026, as presented in the following table:</w:t>
      </w:r>
    </w:p>
    <w:p w:rsidR="00F9107B" w:rsidRDefault="00F9107B" w:rsidP="00F9107B">
      <w:r>
        <w:t>Department Name</w:t>
      </w:r>
      <w:r>
        <w:tab/>
      </w:r>
      <w:r>
        <w:tab/>
        <w:t>Appropriated</w:t>
      </w:r>
      <w:r>
        <w:tab/>
        <w:t>Change</w:t>
      </w:r>
      <w:r>
        <w:tab/>
        <w:t>New Appropriation</w:t>
      </w:r>
    </w:p>
    <w:p w:rsidR="00F9107B" w:rsidRDefault="00F9107B" w:rsidP="00F9107B">
      <w:r>
        <w:t>04 County Attorney</w:t>
      </w:r>
      <w:r>
        <w:tab/>
      </w:r>
      <w:r>
        <w:tab/>
        <w:t>$601,207</w:t>
      </w:r>
      <w:r>
        <w:tab/>
        <w:t>$1,200</w:t>
      </w:r>
      <w:r>
        <w:tab/>
      </w:r>
      <w:r>
        <w:tab/>
        <w:t>$602,407</w:t>
      </w:r>
    </w:p>
    <w:p w:rsidR="00F9107B" w:rsidRDefault="00F9107B" w:rsidP="00F9107B">
      <w:r>
        <w:t>10 Elections</w:t>
      </w:r>
      <w:r>
        <w:tab/>
      </w:r>
      <w:r>
        <w:tab/>
      </w:r>
      <w:r>
        <w:tab/>
        <w:t>$181,911</w:t>
      </w:r>
      <w:r>
        <w:tab/>
        <w:t>$9,638</w:t>
      </w:r>
      <w:r>
        <w:tab/>
      </w:r>
      <w:r>
        <w:tab/>
        <w:t>$191,549</w:t>
      </w:r>
    </w:p>
    <w:p w:rsidR="00F9107B" w:rsidRDefault="00F9107B" w:rsidP="00F9107B">
      <w:r>
        <w:t>12 Courthouse</w:t>
      </w:r>
      <w:r>
        <w:tab/>
      </w:r>
      <w:r>
        <w:tab/>
      </w:r>
      <w:r>
        <w:tab/>
        <w:t>$107,654</w:t>
      </w:r>
      <w:r>
        <w:tab/>
        <w:t>$4,200</w:t>
      </w:r>
      <w:r>
        <w:tab/>
      </w:r>
      <w:r>
        <w:tab/>
        <w:t>$111,854</w:t>
      </w:r>
    </w:p>
    <w:p w:rsidR="00F9107B" w:rsidRDefault="00F9107B" w:rsidP="00F9107B">
      <w:r>
        <w:t>13 County Farm Site</w:t>
      </w:r>
      <w:r>
        <w:tab/>
      </w:r>
      <w:r>
        <w:tab/>
        <w:t>$3,850</w:t>
      </w:r>
      <w:r>
        <w:tab/>
      </w:r>
      <w:r>
        <w:tab/>
        <w:t>$2,200</w:t>
      </w:r>
      <w:r>
        <w:tab/>
      </w:r>
      <w:r>
        <w:tab/>
        <w:t>$6,050</w:t>
      </w:r>
    </w:p>
    <w:p w:rsidR="00F9107B" w:rsidRDefault="00F9107B" w:rsidP="00F9107B">
      <w:r>
        <w:t>17 Local Option Sales Tax</w:t>
      </w:r>
      <w:r>
        <w:tab/>
        <w:t>$2,223,619</w:t>
      </w:r>
      <w:r>
        <w:tab/>
        <w:t>($1,218,619)</w:t>
      </w:r>
      <w:r>
        <w:tab/>
        <w:t>$1,005,000</w:t>
      </w:r>
    </w:p>
    <w:p w:rsidR="00F9107B" w:rsidRDefault="00F9107B" w:rsidP="00F9107B">
      <w:r>
        <w:t>20 County Engineer</w:t>
      </w:r>
      <w:r>
        <w:tab/>
      </w:r>
      <w:r>
        <w:tab/>
        <w:t>$7,860,911</w:t>
      </w:r>
      <w:r>
        <w:tab/>
        <w:t>$769,000</w:t>
      </w:r>
      <w:r>
        <w:tab/>
        <w:t>$8,629,911</w:t>
      </w:r>
    </w:p>
    <w:p w:rsidR="00F9107B" w:rsidRDefault="00F9107B" w:rsidP="00F9107B">
      <w:r>
        <w:t>26 Landfill Closure Dept</w:t>
      </w:r>
      <w:r>
        <w:tab/>
        <w:t>$21,200</w:t>
      </w:r>
      <w:r>
        <w:tab/>
        <w:t>$1,500</w:t>
      </w:r>
      <w:r>
        <w:tab/>
      </w:r>
      <w:r>
        <w:tab/>
        <w:t>$22,700</w:t>
      </w:r>
    </w:p>
    <w:p w:rsidR="00F9107B" w:rsidRDefault="00F9107B" w:rsidP="00F9107B">
      <w:r>
        <w:t>55 Health Department</w:t>
      </w:r>
      <w:r>
        <w:tab/>
      </w:r>
      <w:r>
        <w:tab/>
        <w:t>$227,544</w:t>
      </w:r>
      <w:r>
        <w:tab/>
        <w:t>($15,633)</w:t>
      </w:r>
      <w:r>
        <w:tab/>
        <w:t>$211,911</w:t>
      </w:r>
    </w:p>
    <w:p w:rsidR="00F9107B" w:rsidRDefault="00F9107B" w:rsidP="00F9107B">
      <w:r>
        <w:t>83 Mental Health</w:t>
      </w:r>
      <w:r>
        <w:tab/>
      </w:r>
      <w:r>
        <w:tab/>
        <w:t>$34,555</w:t>
      </w:r>
      <w:r>
        <w:tab/>
        <w:t>($377)</w:t>
      </w:r>
      <w:r>
        <w:tab/>
      </w:r>
      <w:r>
        <w:tab/>
        <w:t>$34,178</w:t>
      </w:r>
      <w:r>
        <w:tab/>
      </w:r>
      <w:r>
        <w:tab/>
      </w:r>
    </w:p>
    <w:p w:rsidR="00F9107B" w:rsidRDefault="00F9107B" w:rsidP="00F9107B">
      <w:r>
        <w:t>99 Non Departmental</w:t>
      </w:r>
      <w:r>
        <w:tab/>
      </w:r>
      <w:r>
        <w:tab/>
        <w:t>$12,330,163</w:t>
      </w:r>
      <w:r>
        <w:tab/>
        <w:t>($5,856,891)</w:t>
      </w:r>
      <w:r>
        <w:tab/>
        <w:t>$6,473,272</w:t>
      </w:r>
      <w:r>
        <w:tab/>
        <w:t xml:space="preserve"> </w:t>
      </w:r>
    </w:p>
    <w:p w:rsidR="00F9107B" w:rsidRDefault="00F9107B" w:rsidP="00F9107B">
      <w:r>
        <w:t>So Passed and Adopted this 19</w:t>
      </w:r>
      <w:r w:rsidRPr="001E6B96">
        <w:rPr>
          <w:vertAlign w:val="superscript"/>
        </w:rPr>
        <w:t>th</w:t>
      </w:r>
      <w:r>
        <w:t xml:space="preserve"> Day of May, 2026.  </w:t>
      </w:r>
    </w:p>
    <w:p w:rsidR="00F9107B" w:rsidRDefault="00F9107B" w:rsidP="00F9107B"/>
    <w:p w:rsidR="00F9107B" w:rsidRDefault="00B93055" w:rsidP="00B93055">
      <w:r w:rsidRPr="004B12C5">
        <w:rPr>
          <w:rFonts w:eastAsia="Calibri"/>
          <w:bCs/>
        </w:rPr>
        <w:t>Board/Committee updates:</w:t>
      </w:r>
      <w:r>
        <w:rPr>
          <w:rFonts w:eastAsia="Calibri"/>
          <w:bCs/>
        </w:rPr>
        <w:t xml:space="preserve"> Hildebrandt attended N</w:t>
      </w:r>
      <w:r w:rsidR="005410D5">
        <w:rPr>
          <w:rFonts w:eastAsia="Calibri"/>
          <w:bCs/>
        </w:rPr>
        <w:t xml:space="preserve">ortheast Iowa </w:t>
      </w:r>
      <w:r>
        <w:rPr>
          <w:rFonts w:eastAsia="Calibri"/>
          <w:bCs/>
        </w:rPr>
        <w:t>R</w:t>
      </w:r>
      <w:r w:rsidR="005410D5">
        <w:rPr>
          <w:rFonts w:eastAsia="Calibri"/>
          <w:bCs/>
        </w:rPr>
        <w:t xml:space="preserve">esponse </w:t>
      </w:r>
      <w:r>
        <w:rPr>
          <w:rFonts w:eastAsia="Calibri"/>
          <w:bCs/>
        </w:rPr>
        <w:t>G</w:t>
      </w:r>
      <w:r w:rsidR="005410D5">
        <w:rPr>
          <w:rFonts w:eastAsia="Calibri"/>
          <w:bCs/>
        </w:rPr>
        <w:t>roup meeting</w:t>
      </w:r>
      <w:r>
        <w:rPr>
          <w:rFonts w:eastAsia="Calibri"/>
          <w:bCs/>
        </w:rPr>
        <w:t xml:space="preserve">; Brunkhorst attended </w:t>
      </w:r>
      <w:r w:rsidR="00D761FE">
        <w:rPr>
          <w:rFonts w:eastAsia="Calibri"/>
          <w:bCs/>
        </w:rPr>
        <w:t xml:space="preserve">IA </w:t>
      </w:r>
      <w:r>
        <w:rPr>
          <w:rFonts w:eastAsia="Calibri"/>
          <w:bCs/>
        </w:rPr>
        <w:t>Work</w:t>
      </w:r>
      <w:r w:rsidR="00D761FE">
        <w:rPr>
          <w:rFonts w:eastAsia="Calibri"/>
          <w:bCs/>
        </w:rPr>
        <w:t>s CEO Board</w:t>
      </w:r>
      <w:r w:rsidR="005410D5">
        <w:rPr>
          <w:rFonts w:eastAsia="Calibri"/>
          <w:bCs/>
        </w:rPr>
        <w:t xml:space="preserve"> meeting.</w:t>
      </w:r>
    </w:p>
    <w:p w:rsidR="00483950" w:rsidRDefault="00483950" w:rsidP="00483950"/>
    <w:p w:rsidR="00483950" w:rsidRDefault="00B93055" w:rsidP="00483950">
      <w:r>
        <w:t>Board met with Lindley Sharp, Public Health Director</w:t>
      </w:r>
      <w:r w:rsidR="000D4CB3">
        <w:t>,</w:t>
      </w:r>
      <w:r>
        <w:t xml:space="preserve"> for a department update.</w:t>
      </w:r>
    </w:p>
    <w:p w:rsidR="00B93055" w:rsidRDefault="00B93055" w:rsidP="00483950"/>
    <w:p w:rsidR="00B93055" w:rsidRDefault="00B93055" w:rsidP="00B93055">
      <w:r>
        <w:t xml:space="preserve">Board met with Scott LaRue, GIS/Maintenance. </w:t>
      </w:r>
      <w:r w:rsidRPr="004B12C5">
        <w:rPr>
          <w:rFonts w:eastAsia="Calibri"/>
        </w:rPr>
        <w:t>Cerwinske moved/Hildebrandt second</w:t>
      </w:r>
      <w:r w:rsidRPr="004B12C5">
        <w:t xml:space="preserve"> </w:t>
      </w:r>
      <w:r w:rsidRPr="004B12C5">
        <w:rPr>
          <w:rFonts w:eastAsia="Calibri"/>
        </w:rPr>
        <w:t>to a</w:t>
      </w:r>
      <w:r w:rsidRPr="00B93055">
        <w:t>uthorize Board Chair to sign an agreement between Bremer County and Seedorff Masonry, Inc. for courthouse tuckpointing and masonry repairs</w:t>
      </w:r>
      <w:r>
        <w:t>.</w:t>
      </w:r>
    </w:p>
    <w:p w:rsidR="00CB3420" w:rsidRPr="00886D40" w:rsidRDefault="00B93055" w:rsidP="006E64ED">
      <w:pPr>
        <w:rPr>
          <w:rFonts w:eastAsia="Calibri"/>
        </w:rPr>
      </w:pPr>
      <w:r w:rsidRPr="00B93055">
        <w:lastRenderedPageBreak/>
        <w:t>Board met with Landon Moore, County Engineer, for a weekly department update</w:t>
      </w:r>
      <w:bookmarkStart w:id="2" w:name="_Hlk214631802"/>
      <w:r w:rsidR="006E64ED">
        <w:t>, budget amendment</w:t>
      </w:r>
      <w:r>
        <w:t xml:space="preserve"> </w:t>
      </w:r>
      <w:r w:rsidR="00FF5F2D" w:rsidRPr="004B12C5">
        <w:t>and</w:t>
      </w:r>
      <w:r>
        <w:rPr>
          <w:bCs/>
        </w:rPr>
        <w:t xml:space="preserve"> the Thir</w:t>
      </w:r>
      <w:r w:rsidR="00FF5F2D" w:rsidRPr="004B12C5">
        <w:rPr>
          <w:bCs/>
        </w:rPr>
        <w:t>d</w:t>
      </w:r>
      <w:r w:rsidR="00795AF0" w:rsidRPr="004B12C5">
        <w:rPr>
          <w:bCs/>
        </w:rPr>
        <w:t xml:space="preserve"> Reading</w:t>
      </w:r>
      <w:r w:rsidR="00795AF0" w:rsidRPr="004B12C5">
        <w:t xml:space="preserve"> </w:t>
      </w:r>
      <w:r w:rsidR="001823D3" w:rsidRPr="004B12C5">
        <w:t xml:space="preserve">of </w:t>
      </w:r>
      <w:r w:rsidR="00795AF0" w:rsidRPr="004B12C5">
        <w:rPr>
          <w:bCs/>
        </w:rPr>
        <w:t>Ordinance #26-05,</w:t>
      </w:r>
      <w:r w:rsidR="00795AF0" w:rsidRPr="004B12C5">
        <w:t xml:space="preserve"> an Ordinance Repealing Bremer County Ordinance 24-10</w:t>
      </w:r>
      <w:r w:rsidR="001823D3" w:rsidRPr="004B12C5">
        <w:t xml:space="preserve"> e</w:t>
      </w:r>
      <w:r w:rsidR="00795AF0" w:rsidRPr="004B12C5">
        <w:t xml:space="preserve">stablishing </w:t>
      </w:r>
      <w:r w:rsidR="001823D3" w:rsidRPr="004B12C5">
        <w:t>p</w:t>
      </w:r>
      <w:r w:rsidR="00795AF0" w:rsidRPr="004B12C5">
        <w:t xml:space="preserve">ermit </w:t>
      </w:r>
      <w:r w:rsidR="001823D3" w:rsidRPr="004B12C5">
        <w:t>r</w:t>
      </w:r>
      <w:r w:rsidR="00795AF0" w:rsidRPr="004B12C5">
        <w:t xml:space="preserve">equirements for the Surveying of </w:t>
      </w:r>
      <w:r w:rsidR="001823D3" w:rsidRPr="004B12C5">
        <w:t>c</w:t>
      </w:r>
      <w:r w:rsidR="00795AF0" w:rsidRPr="004B12C5">
        <w:t xml:space="preserve">ertain </w:t>
      </w:r>
      <w:r w:rsidR="001823D3" w:rsidRPr="004B12C5">
        <w:t>p</w:t>
      </w:r>
      <w:r w:rsidR="00795AF0" w:rsidRPr="004B12C5">
        <w:t xml:space="preserve">arcels of </w:t>
      </w:r>
      <w:r w:rsidR="001823D3" w:rsidRPr="004B12C5">
        <w:t>l</w:t>
      </w:r>
      <w:r w:rsidR="00795AF0" w:rsidRPr="004B12C5">
        <w:t>and in the County. No comments received from the public.</w:t>
      </w:r>
      <w:r w:rsidR="00A6435F" w:rsidRPr="004B12C5">
        <w:rPr>
          <w:rFonts w:eastAsia="Calibri"/>
        </w:rPr>
        <w:t xml:space="preserve"> </w:t>
      </w:r>
      <w:r w:rsidR="00411CF9">
        <w:rPr>
          <w:rFonts w:eastAsia="Calibri"/>
        </w:rPr>
        <w:t xml:space="preserve">Cerwinske reiterated </w:t>
      </w:r>
      <w:r w:rsidR="00411CF9" w:rsidRPr="00836B65">
        <w:t xml:space="preserve">the premise of the repeal </w:t>
      </w:r>
      <w:r w:rsidR="00886D40">
        <w:t>is</w:t>
      </w:r>
      <w:r w:rsidR="00411CF9" w:rsidRPr="00836B65">
        <w:t xml:space="preserve"> due to successful litigation in the State of Iowa against similar ordinances.</w:t>
      </w:r>
      <w:r w:rsidR="00886D40">
        <w:rPr>
          <w:rFonts w:eastAsia="Calibri"/>
        </w:rPr>
        <w:t xml:space="preserve"> </w:t>
      </w:r>
      <w:r w:rsidR="00A6435F" w:rsidRPr="004B12C5">
        <w:rPr>
          <w:rFonts w:eastAsia="Calibri"/>
        </w:rPr>
        <w:t>Hildebrandt moved/Cerwinske second</w:t>
      </w:r>
      <w:r w:rsidR="00A6435F" w:rsidRPr="004B12C5">
        <w:rPr>
          <w:rStyle w:val="Strong"/>
          <w:b w:val="0"/>
        </w:rPr>
        <w:t xml:space="preserve"> </w:t>
      </w:r>
      <w:r w:rsidR="00A6435F" w:rsidRPr="004B12C5">
        <w:t xml:space="preserve">to </w:t>
      </w:r>
      <w:r w:rsidR="006E64ED">
        <w:t>approve the Thir</w:t>
      </w:r>
      <w:r w:rsidR="00FF5F2D" w:rsidRPr="004B12C5">
        <w:t>d</w:t>
      </w:r>
      <w:r w:rsidR="00795AF0" w:rsidRPr="004B12C5">
        <w:t xml:space="preserve"> </w:t>
      </w:r>
      <w:r w:rsidR="00A6435F" w:rsidRPr="004B12C5">
        <w:t>R</w:t>
      </w:r>
      <w:r w:rsidR="00795AF0" w:rsidRPr="004B12C5">
        <w:t xml:space="preserve">eading </w:t>
      </w:r>
      <w:r w:rsidR="00411CF9">
        <w:t>and adopt</w:t>
      </w:r>
      <w:r w:rsidR="00795AF0" w:rsidRPr="004B12C5">
        <w:t xml:space="preserve"> </w:t>
      </w:r>
      <w:r w:rsidR="00795AF0" w:rsidRPr="004B12C5">
        <w:rPr>
          <w:bCs/>
        </w:rPr>
        <w:t>Ordinance #26-05</w:t>
      </w:r>
      <w:r w:rsidR="000C4B60" w:rsidRPr="004B12C5">
        <w:rPr>
          <w:snapToGrid w:val="0"/>
        </w:rPr>
        <w:t>.</w:t>
      </w:r>
      <w:r w:rsidR="006E64ED">
        <w:rPr>
          <w:snapToGrid w:val="0"/>
        </w:rPr>
        <w:t xml:space="preserve"> </w:t>
      </w:r>
      <w:bookmarkEnd w:id="2"/>
      <w:r w:rsidR="006E64ED" w:rsidRPr="006E64ED">
        <w:rPr>
          <w:rFonts w:eastAsia="Calibri"/>
          <w:bCs/>
        </w:rPr>
        <w:t xml:space="preserve">Hildebrandt moved/Cerwinske second to </w:t>
      </w:r>
      <w:r w:rsidR="006E64ED">
        <w:rPr>
          <w:rFonts w:eastAsia="Calibri"/>
          <w:bCs/>
        </w:rPr>
        <w:t xml:space="preserve">adopt </w:t>
      </w:r>
      <w:r w:rsidR="006E64ED">
        <w:t>an amended IDOT Bremer County Secondary Road Budget for FY 2026.</w:t>
      </w:r>
    </w:p>
    <w:p w:rsidR="006E64ED" w:rsidRDefault="006E64ED" w:rsidP="00B9001A">
      <w:pPr>
        <w:tabs>
          <w:tab w:val="left" w:pos="180"/>
          <w:tab w:val="left" w:pos="2340"/>
          <w:tab w:val="left" w:pos="4320"/>
          <w:tab w:val="left" w:pos="6750"/>
        </w:tabs>
        <w:rPr>
          <w:rFonts w:eastAsia="Calibri"/>
        </w:rPr>
      </w:pPr>
    </w:p>
    <w:p w:rsidR="006E64ED" w:rsidRDefault="006E64ED" w:rsidP="00B9001A">
      <w:pPr>
        <w:tabs>
          <w:tab w:val="left" w:pos="180"/>
          <w:tab w:val="left" w:pos="2340"/>
          <w:tab w:val="left" w:pos="4320"/>
          <w:tab w:val="left" w:pos="6750"/>
        </w:tabs>
        <w:rPr>
          <w:rFonts w:eastAsia="Calibri"/>
        </w:rPr>
      </w:pPr>
      <w:r>
        <w:rPr>
          <w:rFonts w:eastAsia="Calibri"/>
        </w:rPr>
        <w:t xml:space="preserve">Board </w:t>
      </w:r>
      <w:r>
        <w:t xml:space="preserve">reviewed Bremer County Handbook Policies 4.1 Discipline, 4.2 Grounds for Disciplinary Action, 4.13 Bremer Credit Card Policy and 4.14 Claims and Resolution 26-09 </w:t>
      </w:r>
      <w:r w:rsidR="00D776C4">
        <w:t>which authorizes payment of r</w:t>
      </w:r>
      <w:r>
        <w:t xml:space="preserve">ecurring </w:t>
      </w:r>
      <w:r w:rsidR="00D776C4">
        <w:t>e</w:t>
      </w:r>
      <w:r>
        <w:t xml:space="preserve">xpenses. Barb Meeker, </w:t>
      </w:r>
      <w:r w:rsidRPr="006E64ED">
        <w:t>Human Resource Mgr</w:t>
      </w:r>
      <w:r>
        <w:t>. present.</w:t>
      </w:r>
      <w:r w:rsidR="00D776C4">
        <w:t xml:space="preserve"> It was determined no changes are needed.</w:t>
      </w:r>
    </w:p>
    <w:p w:rsidR="006E64ED" w:rsidRDefault="006E64ED" w:rsidP="00B9001A">
      <w:pPr>
        <w:tabs>
          <w:tab w:val="left" w:pos="180"/>
          <w:tab w:val="left" w:pos="2340"/>
          <w:tab w:val="left" w:pos="4320"/>
          <w:tab w:val="left" w:pos="6750"/>
        </w:tabs>
        <w:rPr>
          <w:rFonts w:eastAsia="Calibri"/>
        </w:rPr>
      </w:pPr>
    </w:p>
    <w:p w:rsidR="00367B7F" w:rsidRPr="004B12C5" w:rsidRDefault="00D776C4" w:rsidP="00B9001A">
      <w:pPr>
        <w:tabs>
          <w:tab w:val="left" w:pos="180"/>
          <w:tab w:val="left" w:pos="2340"/>
          <w:tab w:val="left" w:pos="4320"/>
          <w:tab w:val="left" w:pos="6750"/>
        </w:tabs>
      </w:pPr>
      <w:r w:rsidRPr="006E64ED">
        <w:rPr>
          <w:rFonts w:eastAsia="Calibri"/>
          <w:bCs/>
        </w:rPr>
        <w:t xml:space="preserve">Hildebrandt moved/Cerwinske second </w:t>
      </w:r>
      <w:r w:rsidR="00367B7F" w:rsidRPr="004B12C5">
        <w:t>to adjourn at 10:</w:t>
      </w:r>
      <w:r w:rsidR="006E64ED">
        <w:t>19</w:t>
      </w:r>
      <w:r w:rsidR="00367B7F" w:rsidRPr="004B12C5">
        <w:t xml:space="preserve"> </w:t>
      </w:r>
      <w:r w:rsidR="000775A4" w:rsidRPr="004B12C5">
        <w:t>a</w:t>
      </w:r>
      <w:r w:rsidR="00A15413" w:rsidRPr="004B12C5">
        <w:t>.</w:t>
      </w:r>
      <w:r w:rsidR="000775A4" w:rsidRPr="004B12C5">
        <w:t>m</w:t>
      </w:r>
      <w:r w:rsidR="00367B7F" w:rsidRPr="004B12C5">
        <w:t>.</w:t>
      </w:r>
    </w:p>
    <w:p w:rsidR="006E642E" w:rsidRPr="004B12C5" w:rsidRDefault="006E642E" w:rsidP="00B9001A"/>
    <w:p w:rsidR="000A52A3" w:rsidRPr="004B12C5" w:rsidRDefault="000A52A3" w:rsidP="00B9001A">
      <w:pPr>
        <w:rPr>
          <w:rFonts w:eastAsia="Calibri"/>
        </w:rPr>
      </w:pPr>
      <w:r w:rsidRPr="004B12C5">
        <w:rPr>
          <w:rFonts w:eastAsia="Calibri"/>
        </w:rPr>
        <w:t>The above and foregoing is a true and correct copy of the minutes and proceedings of a regular</w:t>
      </w:r>
      <w:r w:rsidR="00534626" w:rsidRPr="004B12C5">
        <w:rPr>
          <w:rFonts w:eastAsia="Calibri"/>
        </w:rPr>
        <w:t xml:space="preserve"> </w:t>
      </w:r>
      <w:r w:rsidRPr="004B12C5">
        <w:rPr>
          <w:rFonts w:eastAsia="Calibri"/>
        </w:rPr>
        <w:t xml:space="preserve">session of the </w:t>
      </w:r>
      <w:r w:rsidR="005A0198" w:rsidRPr="004B12C5">
        <w:rPr>
          <w:rFonts w:eastAsia="Calibri"/>
        </w:rPr>
        <w:t>Tuesday,</w:t>
      </w:r>
      <w:r w:rsidR="00D46E00" w:rsidRPr="004B12C5">
        <w:rPr>
          <w:rFonts w:eastAsia="Calibri"/>
        </w:rPr>
        <w:t xml:space="preserve"> </w:t>
      </w:r>
      <w:r w:rsidR="00552C4E" w:rsidRPr="004B12C5">
        <w:rPr>
          <w:rFonts w:eastAsia="Calibri"/>
        </w:rPr>
        <w:t xml:space="preserve">May </w:t>
      </w:r>
      <w:r w:rsidR="00A17083" w:rsidRPr="004B12C5">
        <w:rPr>
          <w:rFonts w:eastAsia="Calibri"/>
        </w:rPr>
        <w:t>1</w:t>
      </w:r>
      <w:r w:rsidR="00A92ADB">
        <w:rPr>
          <w:rFonts w:eastAsia="Calibri"/>
        </w:rPr>
        <w:t>9</w:t>
      </w:r>
      <w:r w:rsidR="00534626" w:rsidRPr="004B12C5">
        <w:rPr>
          <w:rFonts w:eastAsia="Calibri"/>
        </w:rPr>
        <w:t>, 202</w:t>
      </w:r>
      <w:r w:rsidR="003D6AE0" w:rsidRPr="004B12C5">
        <w:rPr>
          <w:rFonts w:eastAsia="Calibri"/>
        </w:rPr>
        <w:t>6</w:t>
      </w:r>
      <w:r w:rsidR="00534626" w:rsidRPr="004B12C5">
        <w:rPr>
          <w:rFonts w:eastAsia="Calibri"/>
        </w:rPr>
        <w:t xml:space="preserve"> </w:t>
      </w:r>
      <w:r w:rsidRPr="004B12C5">
        <w:rPr>
          <w:rFonts w:eastAsia="Calibri"/>
        </w:rPr>
        <w:t>meeting of the Bremer County Board of Supervisors.</w:t>
      </w:r>
    </w:p>
    <w:p w:rsidR="004B4561" w:rsidRPr="004B12C5" w:rsidRDefault="004B4561" w:rsidP="00B9001A">
      <w:pPr>
        <w:rPr>
          <w:rFonts w:eastAsia="Calibri"/>
        </w:rPr>
      </w:pPr>
    </w:p>
    <w:p w:rsidR="000A52A3" w:rsidRPr="004B12C5" w:rsidRDefault="000A52A3" w:rsidP="00B9001A">
      <w:pPr>
        <w:rPr>
          <w:rFonts w:eastAsia="Calibri"/>
        </w:rPr>
      </w:pPr>
    </w:p>
    <w:p w:rsidR="000A52A3" w:rsidRPr="004B12C5" w:rsidRDefault="000A52A3" w:rsidP="00B9001A">
      <w:pPr>
        <w:rPr>
          <w:rFonts w:eastAsia="Calibri"/>
        </w:rPr>
      </w:pPr>
    </w:p>
    <w:p w:rsidR="000A52A3" w:rsidRPr="004B12C5" w:rsidRDefault="000A52A3" w:rsidP="00B9001A">
      <w:pPr>
        <w:rPr>
          <w:rFonts w:eastAsia="Calibri"/>
        </w:rPr>
      </w:pPr>
      <w:r w:rsidRPr="004B12C5">
        <w:rPr>
          <w:rFonts w:eastAsia="Calibri"/>
        </w:rPr>
        <w:t>_____________________________                   Attest: ________________________</w:t>
      </w:r>
      <w:r w:rsidR="00A84EF9" w:rsidRPr="004B12C5">
        <w:rPr>
          <w:rFonts w:eastAsia="Calibri"/>
        </w:rPr>
        <w:t>_______</w:t>
      </w:r>
    </w:p>
    <w:p w:rsidR="004F3194" w:rsidRPr="004B12C5" w:rsidRDefault="003D6AE0" w:rsidP="00B9001A">
      <w:pPr>
        <w:rPr>
          <w:rFonts w:eastAsia="Calibri"/>
        </w:rPr>
      </w:pPr>
      <w:r w:rsidRPr="004B12C5">
        <w:rPr>
          <w:rFonts w:eastAsia="Calibri"/>
        </w:rPr>
        <w:t>Bob Brunkhorst</w:t>
      </w:r>
      <w:r w:rsidR="000A52A3" w:rsidRPr="004B12C5">
        <w:rPr>
          <w:rFonts w:eastAsia="Calibri"/>
        </w:rPr>
        <w:t>,</w:t>
      </w:r>
      <w:r w:rsidR="007F16E0" w:rsidRPr="004B12C5">
        <w:rPr>
          <w:rFonts w:eastAsia="Calibri"/>
        </w:rPr>
        <w:t xml:space="preserve"> </w:t>
      </w:r>
      <w:r w:rsidR="000A52A3" w:rsidRPr="004B12C5">
        <w:rPr>
          <w:rFonts w:eastAsia="Calibri"/>
        </w:rPr>
        <w:t>Chairman</w:t>
      </w:r>
      <w:r w:rsidR="00DA5E04" w:rsidRPr="004B12C5">
        <w:rPr>
          <w:rFonts w:eastAsia="Calibri"/>
        </w:rPr>
        <w:t xml:space="preserve">            </w:t>
      </w:r>
      <w:r w:rsidR="006E0554" w:rsidRPr="004B12C5">
        <w:rPr>
          <w:rFonts w:eastAsia="Calibri"/>
        </w:rPr>
        <w:t>    </w:t>
      </w:r>
      <w:r w:rsidR="000A52A3" w:rsidRPr="004B12C5">
        <w:rPr>
          <w:rFonts w:eastAsia="Calibri"/>
        </w:rPr>
        <w:t xml:space="preserve">               </w:t>
      </w:r>
      <w:r w:rsidR="007F16E0" w:rsidRPr="004B12C5">
        <w:rPr>
          <w:rFonts w:eastAsia="Calibri"/>
        </w:rPr>
        <w:t xml:space="preserve">            </w:t>
      </w:r>
      <w:r w:rsidR="00023995" w:rsidRPr="004B12C5">
        <w:rPr>
          <w:rFonts w:eastAsia="Calibri"/>
        </w:rPr>
        <w:t>Shelley Wolf</w:t>
      </w:r>
      <w:r w:rsidR="006E0554" w:rsidRPr="004B12C5">
        <w:rPr>
          <w:rFonts w:eastAsia="Calibri"/>
        </w:rPr>
        <w:t>,</w:t>
      </w:r>
      <w:r w:rsidR="000A52A3" w:rsidRPr="004B12C5">
        <w:rPr>
          <w:rFonts w:eastAsia="Calibri"/>
        </w:rPr>
        <w:t xml:space="preserve"> Audito</w:t>
      </w:r>
      <w:r w:rsidR="00B94C0C" w:rsidRPr="004B12C5">
        <w:rPr>
          <w:rFonts w:eastAsia="Calibri"/>
        </w:rPr>
        <w:t>r</w:t>
      </w:r>
    </w:p>
    <w:p w:rsidR="00D75936" w:rsidRPr="004B12C5" w:rsidRDefault="00D75936" w:rsidP="00B9001A">
      <w:pPr>
        <w:rPr>
          <w:rFonts w:eastAsia="Calibri"/>
        </w:rPr>
      </w:pPr>
    </w:p>
    <w:p w:rsidR="00B412E8" w:rsidRDefault="00D75936" w:rsidP="00A92ADB">
      <w:pPr>
        <w:rPr>
          <w:rFonts w:eastAsia="Calibri"/>
        </w:rPr>
      </w:pPr>
      <w:r w:rsidRPr="004B12C5">
        <w:rPr>
          <w:rFonts w:eastAsia="Calibri"/>
        </w:rPr>
        <w:t xml:space="preserve">Claims Publication Summary </w:t>
      </w:r>
      <w:r w:rsidR="00552C4E" w:rsidRPr="004B12C5">
        <w:rPr>
          <w:rFonts w:eastAsia="Calibri"/>
        </w:rPr>
        <w:t>5</w:t>
      </w:r>
      <w:r w:rsidRPr="004B12C5">
        <w:rPr>
          <w:rFonts w:eastAsia="Calibri"/>
        </w:rPr>
        <w:t>/</w:t>
      </w:r>
      <w:r w:rsidR="00A17083" w:rsidRPr="004B12C5">
        <w:rPr>
          <w:rFonts w:eastAsia="Calibri"/>
        </w:rPr>
        <w:t>1</w:t>
      </w:r>
      <w:r w:rsidR="00A92ADB">
        <w:rPr>
          <w:rFonts w:eastAsia="Calibri"/>
        </w:rPr>
        <w:t>9</w:t>
      </w:r>
      <w:r w:rsidRPr="004B12C5">
        <w:rPr>
          <w:rFonts w:eastAsia="Calibri"/>
        </w:rPr>
        <w:t>/26</w:t>
      </w:r>
      <w:bookmarkEnd w:id="0"/>
    </w:p>
    <w:tbl>
      <w:tblPr>
        <w:tblW w:w="8910" w:type="dxa"/>
        <w:tblInd w:w="-90" w:type="dxa"/>
        <w:tblLook w:val="04A0" w:firstRow="1" w:lastRow="0" w:firstColumn="1" w:lastColumn="0" w:noHBand="0" w:noVBand="1"/>
      </w:tblPr>
      <w:tblGrid>
        <w:gridCol w:w="3690"/>
        <w:gridCol w:w="3330"/>
        <w:gridCol w:w="1260"/>
        <w:gridCol w:w="630"/>
      </w:tblGrid>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bookmarkStart w:id="3" w:name="_Hlk194993391"/>
            <w:r w:rsidRPr="00A41D03">
              <w:rPr>
                <w:rFonts w:eastAsia="Calibri"/>
                <w:sz w:val="20"/>
                <w:szCs w:val="20"/>
              </w:rPr>
              <w:t>Aikey Auto Salvage</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Parts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1,100.00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2</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Alliant Energy - IP&amp;L</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Utilities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107.31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Amazon Capital Services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Office/Misc.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72.81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3</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Barbara Meeker</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Employee Reimbursement</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106.60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Black Hawk Co Sheriff</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Service Of Notice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130.50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2</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Bremer Co Health Dept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Opioid Activities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3,202.85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Bremer Co Highway Dept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Fuel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313.60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Bremer Co ISU Extension Office</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Water Sampling</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600.00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Bremer Co Sheriff</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Service of Notice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262.65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Bruening Rock Products,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Road Rock</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44,831.30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5</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Century Link</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Trunking Expense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33.95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City of Waverly</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Fy26 Quarter 3 Bldg Permit 10%</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2,329.45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Croell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Bridge Materials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2,800.00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Dick's Petroleum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Equipment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120.80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Don's Truck Sales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Parts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220.24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East-Central Iowa Rec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Intersection Lighting</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47.52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Elizabeth A Fagerlind</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Custodial Services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650.00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EoJohnson</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Copier Lease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198.35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Fastenal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Parts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18.80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Galls LLC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Uniforms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350.22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Garry's Tire Service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Vehicle Maintenance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166.90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Gordon Flesch Co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Copier Overage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5.53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Grainger</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Parts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657.27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Iowa Dot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315.36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Iowa Law Enforcement Academy</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Jail School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1,250.00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Jerry Roling Mts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342.18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4</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John Deere Financial</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Misc.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182.62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Kiesler Police Supply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Firearm Equipment/Ammunition</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4,980.72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Lycoming County Sheriff</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MidAmerican Energy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Outdoor Warning</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82.43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Mike Carroll</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Safety Boot Reimbursement</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200.00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Napa Auto Parts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Equipment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490.57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14</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Nelson &amp; Toenjes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Legal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333.50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Office Express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Maintenance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102.44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O'Reilly Automotive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Vehicle Parts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25.98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Pitney Bowes Bank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Postage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500.00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Schaeffer MFG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Diesel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1,283.45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Schumacher Elevator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Monthly Elevator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293.86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Snap-on Tools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A/C Component</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106.50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Spahn &amp; Rose Lumber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Lumber</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611.48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Summit Food Service LLC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Inmate Meals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10,219.04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Superior Welding Supply Co</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Welding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404.67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Thrifty White Pharmacy</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Inmate Prescriptions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383.50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US Cellular Corp</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Phone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188.97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Verizon Connect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Cell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40.01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Verizon Wireless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Phone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76.94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Waverly Utilities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Utilities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962.50 </w:t>
            </w:r>
          </w:p>
        </w:tc>
        <w:tc>
          <w:tcPr>
            <w:tcW w:w="630" w:type="dxa"/>
            <w:noWrap/>
            <w:hideMark/>
          </w:tcPr>
          <w:p w:rsidR="00A41D03" w:rsidRPr="00A41D03" w:rsidRDefault="00A41D03" w:rsidP="00A41D03">
            <w:pPr>
              <w:rPr>
                <w:rFonts w:eastAsia="Calibri"/>
                <w:sz w:val="20"/>
                <w:szCs w:val="20"/>
              </w:rPr>
            </w:pPr>
            <w:r w:rsidRPr="00A41D03">
              <w:rPr>
                <w:rFonts w:eastAsia="Calibri"/>
                <w:sz w:val="20"/>
                <w:szCs w:val="20"/>
              </w:rPr>
              <w:t>2</w:t>
            </w: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Wayne's Truck Equipment &amp; Part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295.00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Weeds On Fire Custom Appl LLC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Grounds Maintenance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204.50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Whitney Reporting Services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Court Transcript</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649.00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Youth Shelter Care</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Shelter Care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931.40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Total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83,883.27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Assessor</w:t>
            </w:r>
          </w:p>
        </w:tc>
        <w:tc>
          <w:tcPr>
            <w:tcW w:w="3330" w:type="dxa"/>
            <w:noWrap/>
            <w:hideMark/>
          </w:tcPr>
          <w:p w:rsidR="00A41D03" w:rsidRPr="00A41D03" w:rsidRDefault="00A41D03" w:rsidP="00A41D03">
            <w:pPr>
              <w:rPr>
                <w:rFonts w:eastAsia="Calibri"/>
                <w:sz w:val="20"/>
                <w:szCs w:val="20"/>
              </w:rPr>
            </w:pPr>
          </w:p>
        </w:tc>
        <w:tc>
          <w:tcPr>
            <w:tcW w:w="1260" w:type="dxa"/>
            <w:noWrap/>
            <w:hideMark/>
          </w:tcPr>
          <w:p w:rsidR="00A41D03" w:rsidRPr="00A41D03" w:rsidRDefault="00A41D03" w:rsidP="00A41D03">
            <w:pPr>
              <w:rPr>
                <w:rFonts w:eastAsia="Calibri"/>
                <w:sz w:val="20"/>
                <w:szCs w:val="20"/>
              </w:rPr>
            </w:pP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Amazon Capital Services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Office/Misc.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46.37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US Cellular Corp</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Phone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77.08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Vanguard Appraisals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Data Processing</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3,180.00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Total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3,303.45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CBC</w:t>
            </w:r>
          </w:p>
        </w:tc>
        <w:tc>
          <w:tcPr>
            <w:tcW w:w="3330" w:type="dxa"/>
            <w:noWrap/>
            <w:hideMark/>
          </w:tcPr>
          <w:p w:rsidR="00A41D03" w:rsidRPr="00A41D03" w:rsidRDefault="00A41D03" w:rsidP="00A41D03">
            <w:pPr>
              <w:rPr>
                <w:rFonts w:eastAsia="Calibri"/>
                <w:sz w:val="20"/>
                <w:szCs w:val="20"/>
              </w:rPr>
            </w:pPr>
          </w:p>
        </w:tc>
        <w:tc>
          <w:tcPr>
            <w:tcW w:w="1260" w:type="dxa"/>
            <w:noWrap/>
            <w:hideMark/>
          </w:tcPr>
          <w:p w:rsidR="00A41D03" w:rsidRPr="00A41D03" w:rsidRDefault="00A41D03" w:rsidP="00A41D03">
            <w:pPr>
              <w:rPr>
                <w:rFonts w:eastAsia="Calibri"/>
                <w:sz w:val="20"/>
                <w:szCs w:val="20"/>
              </w:rPr>
            </w:pP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Bremer Co Maintenance Dept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Maintenance/Lawn Care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370.12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GFC Leasing – WI</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Copier Lease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111.81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Gordon Flesch Co Inc</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Copier Overage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18.02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Napa Auto Parts</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Equipment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44.76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Storey Kenworthy /Matt Parrott</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Office Supplies</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176.33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r w:rsidRPr="00A41D03">
              <w:rPr>
                <w:rFonts w:eastAsia="Calibri"/>
                <w:sz w:val="20"/>
                <w:szCs w:val="20"/>
              </w:rPr>
              <w:t>US Cellular Corp</w:t>
            </w: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Phone Service</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42.56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Total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763.60 </w:t>
            </w:r>
          </w:p>
        </w:tc>
        <w:tc>
          <w:tcPr>
            <w:tcW w:w="630" w:type="dxa"/>
            <w:noWrap/>
            <w:hideMark/>
          </w:tcPr>
          <w:p w:rsidR="00A41D03" w:rsidRPr="00A41D03" w:rsidRDefault="00A41D03" w:rsidP="00A41D03">
            <w:pPr>
              <w:rPr>
                <w:rFonts w:eastAsia="Calibri"/>
                <w:sz w:val="20"/>
                <w:szCs w:val="20"/>
              </w:rPr>
            </w:pPr>
          </w:p>
        </w:tc>
      </w:tr>
      <w:tr w:rsidR="00A41D03" w:rsidRPr="00A41D03" w:rsidTr="00DB7D5B">
        <w:trPr>
          <w:trHeight w:val="255"/>
        </w:trPr>
        <w:tc>
          <w:tcPr>
            <w:tcW w:w="3690" w:type="dxa"/>
            <w:noWrap/>
            <w:hideMark/>
          </w:tcPr>
          <w:p w:rsidR="00A41D03" w:rsidRPr="00A41D03" w:rsidRDefault="00A41D03" w:rsidP="00A41D03">
            <w:pPr>
              <w:rPr>
                <w:rFonts w:eastAsia="Calibri"/>
                <w:sz w:val="20"/>
                <w:szCs w:val="20"/>
              </w:rPr>
            </w:pPr>
          </w:p>
        </w:tc>
        <w:tc>
          <w:tcPr>
            <w:tcW w:w="3330" w:type="dxa"/>
            <w:noWrap/>
            <w:hideMark/>
          </w:tcPr>
          <w:p w:rsidR="00A41D03" w:rsidRPr="00A41D03" w:rsidRDefault="00A41D03" w:rsidP="00A41D03">
            <w:pPr>
              <w:rPr>
                <w:rFonts w:eastAsia="Calibri"/>
                <w:sz w:val="20"/>
                <w:szCs w:val="20"/>
              </w:rPr>
            </w:pPr>
            <w:r w:rsidRPr="00A41D03">
              <w:rPr>
                <w:rFonts w:eastAsia="Calibri"/>
                <w:sz w:val="20"/>
                <w:szCs w:val="20"/>
              </w:rPr>
              <w:t>Grand Total</w:t>
            </w:r>
          </w:p>
        </w:tc>
        <w:tc>
          <w:tcPr>
            <w:tcW w:w="1260" w:type="dxa"/>
            <w:noWrap/>
            <w:hideMark/>
          </w:tcPr>
          <w:p w:rsidR="00A41D03" w:rsidRPr="00A41D03" w:rsidRDefault="00A41D03" w:rsidP="00A41D03">
            <w:pPr>
              <w:rPr>
                <w:rFonts w:eastAsia="Calibri"/>
                <w:sz w:val="20"/>
                <w:szCs w:val="20"/>
              </w:rPr>
            </w:pPr>
            <w:r w:rsidRPr="00A41D03">
              <w:rPr>
                <w:rFonts w:eastAsia="Calibri"/>
                <w:sz w:val="20"/>
                <w:szCs w:val="20"/>
              </w:rPr>
              <w:t xml:space="preserve"> 87,950.32 </w:t>
            </w:r>
          </w:p>
        </w:tc>
        <w:tc>
          <w:tcPr>
            <w:tcW w:w="630" w:type="dxa"/>
            <w:noWrap/>
            <w:hideMark/>
          </w:tcPr>
          <w:p w:rsidR="00A41D03" w:rsidRPr="00A41D03" w:rsidRDefault="00A41D03" w:rsidP="00A41D03">
            <w:pPr>
              <w:rPr>
                <w:rFonts w:eastAsia="Calibri"/>
                <w:sz w:val="20"/>
                <w:szCs w:val="20"/>
              </w:rPr>
            </w:pPr>
          </w:p>
        </w:tc>
        <w:bookmarkEnd w:id="3"/>
      </w:tr>
    </w:tbl>
    <w:p w:rsidR="00A41D03" w:rsidRPr="00A41D03" w:rsidRDefault="00A41D03" w:rsidP="00A41D03">
      <w:pPr>
        <w:rPr>
          <w:rFonts w:eastAsia="Calibri"/>
          <w:sz w:val="20"/>
          <w:szCs w:val="20"/>
        </w:rPr>
      </w:pPr>
    </w:p>
    <w:sectPr w:rsidR="00A41D03" w:rsidRPr="00A41D03" w:rsidSect="002B5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5FA" w:rsidRDefault="008855FA" w:rsidP="00C458A4">
      <w:r>
        <w:separator/>
      </w:r>
    </w:p>
  </w:endnote>
  <w:endnote w:type="continuationSeparator" w:id="0">
    <w:p w:rsidR="008855FA" w:rsidRDefault="008855FA" w:rsidP="00C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5FA" w:rsidRDefault="008855FA" w:rsidP="00C458A4">
      <w:r>
        <w:separator/>
      </w:r>
    </w:p>
  </w:footnote>
  <w:footnote w:type="continuationSeparator" w:id="0">
    <w:p w:rsidR="008855FA" w:rsidRDefault="008855FA" w:rsidP="00C458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81296"/>
    <w:multiLevelType w:val="hybridMultilevel"/>
    <w:tmpl w:val="ACF4B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06C92"/>
    <w:multiLevelType w:val="hybridMultilevel"/>
    <w:tmpl w:val="D31ED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AD53A26"/>
    <w:multiLevelType w:val="hybridMultilevel"/>
    <w:tmpl w:val="D7B27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67E29"/>
    <w:multiLevelType w:val="hybridMultilevel"/>
    <w:tmpl w:val="6C1A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A3"/>
    <w:rsid w:val="00000500"/>
    <w:rsid w:val="00002929"/>
    <w:rsid w:val="00007E7C"/>
    <w:rsid w:val="000123E0"/>
    <w:rsid w:val="000124C8"/>
    <w:rsid w:val="00013855"/>
    <w:rsid w:val="00014115"/>
    <w:rsid w:val="000170BE"/>
    <w:rsid w:val="00021672"/>
    <w:rsid w:val="0002277C"/>
    <w:rsid w:val="00023705"/>
    <w:rsid w:val="00023995"/>
    <w:rsid w:val="00023AE9"/>
    <w:rsid w:val="00030B3D"/>
    <w:rsid w:val="00032C55"/>
    <w:rsid w:val="00032F06"/>
    <w:rsid w:val="00033387"/>
    <w:rsid w:val="00034667"/>
    <w:rsid w:val="00034DDB"/>
    <w:rsid w:val="0003518D"/>
    <w:rsid w:val="00035387"/>
    <w:rsid w:val="00035FD4"/>
    <w:rsid w:val="00040206"/>
    <w:rsid w:val="00041461"/>
    <w:rsid w:val="000419CA"/>
    <w:rsid w:val="000421A8"/>
    <w:rsid w:val="00042339"/>
    <w:rsid w:val="00042C67"/>
    <w:rsid w:val="000457B8"/>
    <w:rsid w:val="000468A0"/>
    <w:rsid w:val="00046ED7"/>
    <w:rsid w:val="0004754E"/>
    <w:rsid w:val="0005123D"/>
    <w:rsid w:val="00052CC1"/>
    <w:rsid w:val="0005355A"/>
    <w:rsid w:val="000536FB"/>
    <w:rsid w:val="00055D0A"/>
    <w:rsid w:val="00056D06"/>
    <w:rsid w:val="0005790F"/>
    <w:rsid w:val="00057F75"/>
    <w:rsid w:val="000601F2"/>
    <w:rsid w:val="00061975"/>
    <w:rsid w:val="000628EF"/>
    <w:rsid w:val="00063B65"/>
    <w:rsid w:val="000649D7"/>
    <w:rsid w:val="0006591F"/>
    <w:rsid w:val="000669E0"/>
    <w:rsid w:val="00067828"/>
    <w:rsid w:val="00071788"/>
    <w:rsid w:val="000724A0"/>
    <w:rsid w:val="00074CD3"/>
    <w:rsid w:val="00074D24"/>
    <w:rsid w:val="00077023"/>
    <w:rsid w:val="000775A4"/>
    <w:rsid w:val="00080F9A"/>
    <w:rsid w:val="00081103"/>
    <w:rsid w:val="00081B73"/>
    <w:rsid w:val="00082A64"/>
    <w:rsid w:val="00082D24"/>
    <w:rsid w:val="00083CCB"/>
    <w:rsid w:val="0008414F"/>
    <w:rsid w:val="000842DB"/>
    <w:rsid w:val="00085C9A"/>
    <w:rsid w:val="000870E1"/>
    <w:rsid w:val="0009044A"/>
    <w:rsid w:val="00090744"/>
    <w:rsid w:val="0009226D"/>
    <w:rsid w:val="00092B2E"/>
    <w:rsid w:val="00093E17"/>
    <w:rsid w:val="00095D26"/>
    <w:rsid w:val="00096A6E"/>
    <w:rsid w:val="000A12E0"/>
    <w:rsid w:val="000A2034"/>
    <w:rsid w:val="000A20D5"/>
    <w:rsid w:val="000A236C"/>
    <w:rsid w:val="000A2AAD"/>
    <w:rsid w:val="000A2F6B"/>
    <w:rsid w:val="000A4C25"/>
    <w:rsid w:val="000A4C4C"/>
    <w:rsid w:val="000A52A3"/>
    <w:rsid w:val="000A6EB5"/>
    <w:rsid w:val="000A7634"/>
    <w:rsid w:val="000B2192"/>
    <w:rsid w:val="000B3FC2"/>
    <w:rsid w:val="000B6198"/>
    <w:rsid w:val="000B646E"/>
    <w:rsid w:val="000C0231"/>
    <w:rsid w:val="000C0933"/>
    <w:rsid w:val="000C1A0C"/>
    <w:rsid w:val="000C2383"/>
    <w:rsid w:val="000C2407"/>
    <w:rsid w:val="000C2D37"/>
    <w:rsid w:val="000C4B60"/>
    <w:rsid w:val="000C5184"/>
    <w:rsid w:val="000C578B"/>
    <w:rsid w:val="000C5AD5"/>
    <w:rsid w:val="000C5D84"/>
    <w:rsid w:val="000C6AE9"/>
    <w:rsid w:val="000C7CA0"/>
    <w:rsid w:val="000C7F11"/>
    <w:rsid w:val="000D0A33"/>
    <w:rsid w:val="000D1CCE"/>
    <w:rsid w:val="000D1D6A"/>
    <w:rsid w:val="000D2501"/>
    <w:rsid w:val="000D2AC9"/>
    <w:rsid w:val="000D343B"/>
    <w:rsid w:val="000D401E"/>
    <w:rsid w:val="000D43EF"/>
    <w:rsid w:val="000D4CB3"/>
    <w:rsid w:val="000D4D52"/>
    <w:rsid w:val="000D5CE2"/>
    <w:rsid w:val="000D6CA1"/>
    <w:rsid w:val="000E122D"/>
    <w:rsid w:val="000E19FB"/>
    <w:rsid w:val="000E3AB7"/>
    <w:rsid w:val="000E6846"/>
    <w:rsid w:val="000E761E"/>
    <w:rsid w:val="000E7E3D"/>
    <w:rsid w:val="000F28A8"/>
    <w:rsid w:val="000F3337"/>
    <w:rsid w:val="000F34B1"/>
    <w:rsid w:val="000F4664"/>
    <w:rsid w:val="000F539F"/>
    <w:rsid w:val="000F5C02"/>
    <w:rsid w:val="000F6776"/>
    <w:rsid w:val="001021A9"/>
    <w:rsid w:val="0010281C"/>
    <w:rsid w:val="00103775"/>
    <w:rsid w:val="001045FA"/>
    <w:rsid w:val="00104DF2"/>
    <w:rsid w:val="001058B4"/>
    <w:rsid w:val="00105AD7"/>
    <w:rsid w:val="00105E79"/>
    <w:rsid w:val="00105E84"/>
    <w:rsid w:val="001069A2"/>
    <w:rsid w:val="001070C0"/>
    <w:rsid w:val="0010768A"/>
    <w:rsid w:val="00110149"/>
    <w:rsid w:val="00111006"/>
    <w:rsid w:val="00111702"/>
    <w:rsid w:val="0012087F"/>
    <w:rsid w:val="00122D74"/>
    <w:rsid w:val="00127832"/>
    <w:rsid w:val="00131550"/>
    <w:rsid w:val="001318DD"/>
    <w:rsid w:val="00133A22"/>
    <w:rsid w:val="001353D0"/>
    <w:rsid w:val="00137B68"/>
    <w:rsid w:val="00137F46"/>
    <w:rsid w:val="0014155F"/>
    <w:rsid w:val="00141F6E"/>
    <w:rsid w:val="0014249B"/>
    <w:rsid w:val="00143B75"/>
    <w:rsid w:val="001450F8"/>
    <w:rsid w:val="0014585C"/>
    <w:rsid w:val="00145A24"/>
    <w:rsid w:val="00145CE3"/>
    <w:rsid w:val="00147215"/>
    <w:rsid w:val="00150965"/>
    <w:rsid w:val="00153A07"/>
    <w:rsid w:val="001547B7"/>
    <w:rsid w:val="001629A1"/>
    <w:rsid w:val="00163C1C"/>
    <w:rsid w:val="001643A7"/>
    <w:rsid w:val="00164D08"/>
    <w:rsid w:val="00172A67"/>
    <w:rsid w:val="00172B66"/>
    <w:rsid w:val="00172DD8"/>
    <w:rsid w:val="001811B1"/>
    <w:rsid w:val="00181F37"/>
    <w:rsid w:val="001823D3"/>
    <w:rsid w:val="0018338D"/>
    <w:rsid w:val="0018356B"/>
    <w:rsid w:val="0018431E"/>
    <w:rsid w:val="00186CDE"/>
    <w:rsid w:val="001915CD"/>
    <w:rsid w:val="0019386E"/>
    <w:rsid w:val="00194503"/>
    <w:rsid w:val="00194E5B"/>
    <w:rsid w:val="001951C0"/>
    <w:rsid w:val="00195299"/>
    <w:rsid w:val="00195BB7"/>
    <w:rsid w:val="00197EAD"/>
    <w:rsid w:val="001A1706"/>
    <w:rsid w:val="001A260A"/>
    <w:rsid w:val="001A279D"/>
    <w:rsid w:val="001A449D"/>
    <w:rsid w:val="001A5493"/>
    <w:rsid w:val="001A7FBE"/>
    <w:rsid w:val="001B4099"/>
    <w:rsid w:val="001B4A19"/>
    <w:rsid w:val="001B5190"/>
    <w:rsid w:val="001B78C9"/>
    <w:rsid w:val="001B79A1"/>
    <w:rsid w:val="001C0173"/>
    <w:rsid w:val="001C0193"/>
    <w:rsid w:val="001C2B03"/>
    <w:rsid w:val="001C2D38"/>
    <w:rsid w:val="001C3693"/>
    <w:rsid w:val="001C417F"/>
    <w:rsid w:val="001D033B"/>
    <w:rsid w:val="001D0DBC"/>
    <w:rsid w:val="001D105D"/>
    <w:rsid w:val="001D17DB"/>
    <w:rsid w:val="001D281D"/>
    <w:rsid w:val="001D51B3"/>
    <w:rsid w:val="001E0AA2"/>
    <w:rsid w:val="001E0AF8"/>
    <w:rsid w:val="001E2002"/>
    <w:rsid w:val="001E2FBC"/>
    <w:rsid w:val="001E4F3C"/>
    <w:rsid w:val="001E501A"/>
    <w:rsid w:val="001E58DD"/>
    <w:rsid w:val="001E5BA5"/>
    <w:rsid w:val="001F119D"/>
    <w:rsid w:val="001F3C8A"/>
    <w:rsid w:val="001F4A42"/>
    <w:rsid w:val="00200C73"/>
    <w:rsid w:val="00201BF5"/>
    <w:rsid w:val="00203534"/>
    <w:rsid w:val="00203B8B"/>
    <w:rsid w:val="00203F13"/>
    <w:rsid w:val="002043B5"/>
    <w:rsid w:val="00205144"/>
    <w:rsid w:val="0020537B"/>
    <w:rsid w:val="00206390"/>
    <w:rsid w:val="00206935"/>
    <w:rsid w:val="0021009D"/>
    <w:rsid w:val="00210501"/>
    <w:rsid w:val="002108A9"/>
    <w:rsid w:val="00211399"/>
    <w:rsid w:val="00212EB2"/>
    <w:rsid w:val="00213BF3"/>
    <w:rsid w:val="00213DAC"/>
    <w:rsid w:val="0022145E"/>
    <w:rsid w:val="0022416A"/>
    <w:rsid w:val="00225E63"/>
    <w:rsid w:val="002264C1"/>
    <w:rsid w:val="00226B88"/>
    <w:rsid w:val="00231899"/>
    <w:rsid w:val="002342BB"/>
    <w:rsid w:val="00234A56"/>
    <w:rsid w:val="00234ABB"/>
    <w:rsid w:val="00235F97"/>
    <w:rsid w:val="00240001"/>
    <w:rsid w:val="00240D79"/>
    <w:rsid w:val="0024109C"/>
    <w:rsid w:val="00244721"/>
    <w:rsid w:val="00244A2F"/>
    <w:rsid w:val="00245887"/>
    <w:rsid w:val="00245E80"/>
    <w:rsid w:val="00250DD3"/>
    <w:rsid w:val="002522DD"/>
    <w:rsid w:val="002523CC"/>
    <w:rsid w:val="00252FBB"/>
    <w:rsid w:val="00254194"/>
    <w:rsid w:val="00255468"/>
    <w:rsid w:val="00256CF8"/>
    <w:rsid w:val="002607AB"/>
    <w:rsid w:val="00261D6C"/>
    <w:rsid w:val="002626F4"/>
    <w:rsid w:val="00262F61"/>
    <w:rsid w:val="00264CE7"/>
    <w:rsid w:val="002650FA"/>
    <w:rsid w:val="00266142"/>
    <w:rsid w:val="00266579"/>
    <w:rsid w:val="00267F57"/>
    <w:rsid w:val="0027432E"/>
    <w:rsid w:val="00276969"/>
    <w:rsid w:val="00285721"/>
    <w:rsid w:val="00285E5A"/>
    <w:rsid w:val="00291005"/>
    <w:rsid w:val="0029577C"/>
    <w:rsid w:val="002957F0"/>
    <w:rsid w:val="00295CB5"/>
    <w:rsid w:val="00296B7D"/>
    <w:rsid w:val="00296F7F"/>
    <w:rsid w:val="002973B2"/>
    <w:rsid w:val="002A0426"/>
    <w:rsid w:val="002A08DF"/>
    <w:rsid w:val="002A504C"/>
    <w:rsid w:val="002A6B31"/>
    <w:rsid w:val="002A7011"/>
    <w:rsid w:val="002A745B"/>
    <w:rsid w:val="002B01F2"/>
    <w:rsid w:val="002B2F96"/>
    <w:rsid w:val="002B3036"/>
    <w:rsid w:val="002B5C00"/>
    <w:rsid w:val="002C0374"/>
    <w:rsid w:val="002C1394"/>
    <w:rsid w:val="002D004F"/>
    <w:rsid w:val="002D0B54"/>
    <w:rsid w:val="002D1C0D"/>
    <w:rsid w:val="002D3A08"/>
    <w:rsid w:val="002D3C4A"/>
    <w:rsid w:val="002D3C4D"/>
    <w:rsid w:val="002D56BA"/>
    <w:rsid w:val="002D676A"/>
    <w:rsid w:val="002E2757"/>
    <w:rsid w:val="002E6D35"/>
    <w:rsid w:val="002E76A4"/>
    <w:rsid w:val="002E7D6A"/>
    <w:rsid w:val="002F0D81"/>
    <w:rsid w:val="002F1E9D"/>
    <w:rsid w:val="00300565"/>
    <w:rsid w:val="00301C0A"/>
    <w:rsid w:val="003029BA"/>
    <w:rsid w:val="00302B3A"/>
    <w:rsid w:val="00306595"/>
    <w:rsid w:val="003101AA"/>
    <w:rsid w:val="0031253A"/>
    <w:rsid w:val="00313800"/>
    <w:rsid w:val="003202F2"/>
    <w:rsid w:val="00324A23"/>
    <w:rsid w:val="00327799"/>
    <w:rsid w:val="00332BC6"/>
    <w:rsid w:val="00333C17"/>
    <w:rsid w:val="00334370"/>
    <w:rsid w:val="00337DAB"/>
    <w:rsid w:val="0034595D"/>
    <w:rsid w:val="00347A80"/>
    <w:rsid w:val="00350157"/>
    <w:rsid w:val="003507C9"/>
    <w:rsid w:val="003509D8"/>
    <w:rsid w:val="00350CDF"/>
    <w:rsid w:val="00352658"/>
    <w:rsid w:val="0035396D"/>
    <w:rsid w:val="003545B6"/>
    <w:rsid w:val="00356780"/>
    <w:rsid w:val="00357556"/>
    <w:rsid w:val="00357F14"/>
    <w:rsid w:val="00362089"/>
    <w:rsid w:val="003648FF"/>
    <w:rsid w:val="00364CEF"/>
    <w:rsid w:val="003659A4"/>
    <w:rsid w:val="00367967"/>
    <w:rsid w:val="00367B7F"/>
    <w:rsid w:val="00371B84"/>
    <w:rsid w:val="003723B6"/>
    <w:rsid w:val="0037317A"/>
    <w:rsid w:val="00373EC6"/>
    <w:rsid w:val="003748AE"/>
    <w:rsid w:val="003764FC"/>
    <w:rsid w:val="00381759"/>
    <w:rsid w:val="00382286"/>
    <w:rsid w:val="003831DF"/>
    <w:rsid w:val="00383BA2"/>
    <w:rsid w:val="00383C09"/>
    <w:rsid w:val="00383D32"/>
    <w:rsid w:val="00386688"/>
    <w:rsid w:val="00386CD6"/>
    <w:rsid w:val="003874D3"/>
    <w:rsid w:val="003876A8"/>
    <w:rsid w:val="003910BB"/>
    <w:rsid w:val="0039388F"/>
    <w:rsid w:val="0039790D"/>
    <w:rsid w:val="00397A8D"/>
    <w:rsid w:val="00397D4C"/>
    <w:rsid w:val="003A292D"/>
    <w:rsid w:val="003A326D"/>
    <w:rsid w:val="003A3477"/>
    <w:rsid w:val="003A3C87"/>
    <w:rsid w:val="003A47B8"/>
    <w:rsid w:val="003A4E5D"/>
    <w:rsid w:val="003A6396"/>
    <w:rsid w:val="003A69C1"/>
    <w:rsid w:val="003A6E1B"/>
    <w:rsid w:val="003A7054"/>
    <w:rsid w:val="003B139E"/>
    <w:rsid w:val="003B153D"/>
    <w:rsid w:val="003B1CDF"/>
    <w:rsid w:val="003B25E7"/>
    <w:rsid w:val="003B298E"/>
    <w:rsid w:val="003B3842"/>
    <w:rsid w:val="003B5C4E"/>
    <w:rsid w:val="003B62AB"/>
    <w:rsid w:val="003C0876"/>
    <w:rsid w:val="003C28C0"/>
    <w:rsid w:val="003C5BB6"/>
    <w:rsid w:val="003C5D58"/>
    <w:rsid w:val="003D2A85"/>
    <w:rsid w:val="003D43EB"/>
    <w:rsid w:val="003D4BBE"/>
    <w:rsid w:val="003D69B5"/>
    <w:rsid w:val="003D6AE0"/>
    <w:rsid w:val="003D7B99"/>
    <w:rsid w:val="003E0608"/>
    <w:rsid w:val="003E2C05"/>
    <w:rsid w:val="003E73AF"/>
    <w:rsid w:val="003F0E93"/>
    <w:rsid w:val="003F630B"/>
    <w:rsid w:val="00401243"/>
    <w:rsid w:val="00404758"/>
    <w:rsid w:val="00406467"/>
    <w:rsid w:val="0040742D"/>
    <w:rsid w:val="004100F9"/>
    <w:rsid w:val="00411A96"/>
    <w:rsid w:val="00411CF9"/>
    <w:rsid w:val="00411E5B"/>
    <w:rsid w:val="004129E2"/>
    <w:rsid w:val="0041367C"/>
    <w:rsid w:val="00414A12"/>
    <w:rsid w:val="004152E7"/>
    <w:rsid w:val="00416572"/>
    <w:rsid w:val="00416B6F"/>
    <w:rsid w:val="004176F8"/>
    <w:rsid w:val="00423150"/>
    <w:rsid w:val="00423D67"/>
    <w:rsid w:val="00425496"/>
    <w:rsid w:val="0042600E"/>
    <w:rsid w:val="00426261"/>
    <w:rsid w:val="00426352"/>
    <w:rsid w:val="00427592"/>
    <w:rsid w:val="0043152F"/>
    <w:rsid w:val="004414F9"/>
    <w:rsid w:val="00442008"/>
    <w:rsid w:val="00443FC7"/>
    <w:rsid w:val="00446E39"/>
    <w:rsid w:val="00447944"/>
    <w:rsid w:val="00447DB7"/>
    <w:rsid w:val="00447DFB"/>
    <w:rsid w:val="00451C6B"/>
    <w:rsid w:val="00453E1E"/>
    <w:rsid w:val="00455FEC"/>
    <w:rsid w:val="00462999"/>
    <w:rsid w:val="0046520C"/>
    <w:rsid w:val="004660F8"/>
    <w:rsid w:val="0046735D"/>
    <w:rsid w:val="004701A1"/>
    <w:rsid w:val="00471288"/>
    <w:rsid w:val="00473574"/>
    <w:rsid w:val="004736E1"/>
    <w:rsid w:val="00474194"/>
    <w:rsid w:val="00475F3E"/>
    <w:rsid w:val="00476719"/>
    <w:rsid w:val="00476DB9"/>
    <w:rsid w:val="0048165C"/>
    <w:rsid w:val="00481CF8"/>
    <w:rsid w:val="00481EC2"/>
    <w:rsid w:val="00482C0A"/>
    <w:rsid w:val="00482F25"/>
    <w:rsid w:val="00483950"/>
    <w:rsid w:val="00486234"/>
    <w:rsid w:val="0048633D"/>
    <w:rsid w:val="00486484"/>
    <w:rsid w:val="00491580"/>
    <w:rsid w:val="0049248D"/>
    <w:rsid w:val="00492C37"/>
    <w:rsid w:val="00493DDC"/>
    <w:rsid w:val="00496141"/>
    <w:rsid w:val="004A00ED"/>
    <w:rsid w:val="004A0637"/>
    <w:rsid w:val="004A07AD"/>
    <w:rsid w:val="004A1A33"/>
    <w:rsid w:val="004A408D"/>
    <w:rsid w:val="004A4357"/>
    <w:rsid w:val="004B12C5"/>
    <w:rsid w:val="004B4561"/>
    <w:rsid w:val="004B48A6"/>
    <w:rsid w:val="004B51B5"/>
    <w:rsid w:val="004B538F"/>
    <w:rsid w:val="004B6175"/>
    <w:rsid w:val="004B6A7D"/>
    <w:rsid w:val="004C053C"/>
    <w:rsid w:val="004C06A3"/>
    <w:rsid w:val="004C139A"/>
    <w:rsid w:val="004C408B"/>
    <w:rsid w:val="004C4D82"/>
    <w:rsid w:val="004C5808"/>
    <w:rsid w:val="004C7EEF"/>
    <w:rsid w:val="004D2AED"/>
    <w:rsid w:val="004D4A41"/>
    <w:rsid w:val="004D55EF"/>
    <w:rsid w:val="004D71F7"/>
    <w:rsid w:val="004D7427"/>
    <w:rsid w:val="004D7552"/>
    <w:rsid w:val="004D7C62"/>
    <w:rsid w:val="004E0B44"/>
    <w:rsid w:val="004E2EA7"/>
    <w:rsid w:val="004E330A"/>
    <w:rsid w:val="004E4B0D"/>
    <w:rsid w:val="004E506B"/>
    <w:rsid w:val="004E708B"/>
    <w:rsid w:val="004E74F7"/>
    <w:rsid w:val="004E76C1"/>
    <w:rsid w:val="004E7918"/>
    <w:rsid w:val="004F06CF"/>
    <w:rsid w:val="004F3194"/>
    <w:rsid w:val="004F31D8"/>
    <w:rsid w:val="004F3C53"/>
    <w:rsid w:val="004F50B0"/>
    <w:rsid w:val="004F51BB"/>
    <w:rsid w:val="004F6AFE"/>
    <w:rsid w:val="00500997"/>
    <w:rsid w:val="00503571"/>
    <w:rsid w:val="00504085"/>
    <w:rsid w:val="00505223"/>
    <w:rsid w:val="00507053"/>
    <w:rsid w:val="00507445"/>
    <w:rsid w:val="00507B03"/>
    <w:rsid w:val="00511075"/>
    <w:rsid w:val="00511B07"/>
    <w:rsid w:val="00511B24"/>
    <w:rsid w:val="00512317"/>
    <w:rsid w:val="00516051"/>
    <w:rsid w:val="0052136E"/>
    <w:rsid w:val="00523408"/>
    <w:rsid w:val="00526F87"/>
    <w:rsid w:val="005278CD"/>
    <w:rsid w:val="00531787"/>
    <w:rsid w:val="0053186F"/>
    <w:rsid w:val="00531912"/>
    <w:rsid w:val="00532DE8"/>
    <w:rsid w:val="00533002"/>
    <w:rsid w:val="00534626"/>
    <w:rsid w:val="005357A9"/>
    <w:rsid w:val="00535A04"/>
    <w:rsid w:val="00535A5F"/>
    <w:rsid w:val="0053692A"/>
    <w:rsid w:val="00536ED4"/>
    <w:rsid w:val="0054069D"/>
    <w:rsid w:val="005410D5"/>
    <w:rsid w:val="00542C9C"/>
    <w:rsid w:val="005447DF"/>
    <w:rsid w:val="00546EE8"/>
    <w:rsid w:val="005527D9"/>
    <w:rsid w:val="00552C4E"/>
    <w:rsid w:val="00561CBC"/>
    <w:rsid w:val="00563B66"/>
    <w:rsid w:val="00564E6F"/>
    <w:rsid w:val="00567DD6"/>
    <w:rsid w:val="005700A6"/>
    <w:rsid w:val="00570BE8"/>
    <w:rsid w:val="00570FB6"/>
    <w:rsid w:val="00572A14"/>
    <w:rsid w:val="00573DBE"/>
    <w:rsid w:val="005757EE"/>
    <w:rsid w:val="00577CF4"/>
    <w:rsid w:val="00580587"/>
    <w:rsid w:val="00580CBC"/>
    <w:rsid w:val="00580E4F"/>
    <w:rsid w:val="00585832"/>
    <w:rsid w:val="00586BD9"/>
    <w:rsid w:val="005903A8"/>
    <w:rsid w:val="00591D93"/>
    <w:rsid w:val="005927B1"/>
    <w:rsid w:val="00594B26"/>
    <w:rsid w:val="005963B3"/>
    <w:rsid w:val="00596D8D"/>
    <w:rsid w:val="005A0198"/>
    <w:rsid w:val="005A0A8C"/>
    <w:rsid w:val="005A3FA5"/>
    <w:rsid w:val="005A5700"/>
    <w:rsid w:val="005A6784"/>
    <w:rsid w:val="005A788C"/>
    <w:rsid w:val="005A7BB7"/>
    <w:rsid w:val="005B113B"/>
    <w:rsid w:val="005B39BF"/>
    <w:rsid w:val="005B49DB"/>
    <w:rsid w:val="005B54A8"/>
    <w:rsid w:val="005B5FB0"/>
    <w:rsid w:val="005B67D1"/>
    <w:rsid w:val="005B7822"/>
    <w:rsid w:val="005C100E"/>
    <w:rsid w:val="005C1088"/>
    <w:rsid w:val="005C2113"/>
    <w:rsid w:val="005C4500"/>
    <w:rsid w:val="005C6C2C"/>
    <w:rsid w:val="005D0657"/>
    <w:rsid w:val="005D1F56"/>
    <w:rsid w:val="005D3B81"/>
    <w:rsid w:val="005D6667"/>
    <w:rsid w:val="005D6781"/>
    <w:rsid w:val="005D6BFC"/>
    <w:rsid w:val="005D724F"/>
    <w:rsid w:val="005E1117"/>
    <w:rsid w:val="005E2070"/>
    <w:rsid w:val="005E315E"/>
    <w:rsid w:val="005E3479"/>
    <w:rsid w:val="005E650D"/>
    <w:rsid w:val="005E69ED"/>
    <w:rsid w:val="005F0B05"/>
    <w:rsid w:val="005F2945"/>
    <w:rsid w:val="005F3DBA"/>
    <w:rsid w:val="005F4457"/>
    <w:rsid w:val="005F4960"/>
    <w:rsid w:val="005F5DB6"/>
    <w:rsid w:val="005F61F8"/>
    <w:rsid w:val="005F6477"/>
    <w:rsid w:val="00600000"/>
    <w:rsid w:val="00600D7F"/>
    <w:rsid w:val="006037EB"/>
    <w:rsid w:val="006043F6"/>
    <w:rsid w:val="00610115"/>
    <w:rsid w:val="0061019C"/>
    <w:rsid w:val="006109DE"/>
    <w:rsid w:val="0061429F"/>
    <w:rsid w:val="00614898"/>
    <w:rsid w:val="00615E4E"/>
    <w:rsid w:val="006167BB"/>
    <w:rsid w:val="00616BB7"/>
    <w:rsid w:val="0061784D"/>
    <w:rsid w:val="006211E7"/>
    <w:rsid w:val="00621609"/>
    <w:rsid w:val="0062362A"/>
    <w:rsid w:val="00624BA6"/>
    <w:rsid w:val="00626C1C"/>
    <w:rsid w:val="00626D0C"/>
    <w:rsid w:val="00627097"/>
    <w:rsid w:val="006313A0"/>
    <w:rsid w:val="0063176F"/>
    <w:rsid w:val="00632F14"/>
    <w:rsid w:val="00633F10"/>
    <w:rsid w:val="00635C2D"/>
    <w:rsid w:val="00636B92"/>
    <w:rsid w:val="00637CD9"/>
    <w:rsid w:val="00637FEF"/>
    <w:rsid w:val="006403D2"/>
    <w:rsid w:val="00640A2C"/>
    <w:rsid w:val="00645CE6"/>
    <w:rsid w:val="00645D3F"/>
    <w:rsid w:val="00647EBA"/>
    <w:rsid w:val="00650B4A"/>
    <w:rsid w:val="00651E0E"/>
    <w:rsid w:val="00652B5B"/>
    <w:rsid w:val="00654372"/>
    <w:rsid w:val="006604B8"/>
    <w:rsid w:val="00663A16"/>
    <w:rsid w:val="00664FFD"/>
    <w:rsid w:val="006650FF"/>
    <w:rsid w:val="00666912"/>
    <w:rsid w:val="00667DD1"/>
    <w:rsid w:val="00672DF7"/>
    <w:rsid w:val="00673883"/>
    <w:rsid w:val="00675564"/>
    <w:rsid w:val="00676010"/>
    <w:rsid w:val="0067743E"/>
    <w:rsid w:val="00683809"/>
    <w:rsid w:val="00683C4A"/>
    <w:rsid w:val="006847E3"/>
    <w:rsid w:val="00684D3B"/>
    <w:rsid w:val="006900BC"/>
    <w:rsid w:val="0069044A"/>
    <w:rsid w:val="006923F0"/>
    <w:rsid w:val="00694E69"/>
    <w:rsid w:val="00694F60"/>
    <w:rsid w:val="00696AA2"/>
    <w:rsid w:val="0069722F"/>
    <w:rsid w:val="0069753C"/>
    <w:rsid w:val="006A037B"/>
    <w:rsid w:val="006A3307"/>
    <w:rsid w:val="006A366E"/>
    <w:rsid w:val="006A4823"/>
    <w:rsid w:val="006B05E2"/>
    <w:rsid w:val="006B253E"/>
    <w:rsid w:val="006B2ED5"/>
    <w:rsid w:val="006B35FC"/>
    <w:rsid w:val="006B4A6A"/>
    <w:rsid w:val="006B4FB9"/>
    <w:rsid w:val="006B5AC7"/>
    <w:rsid w:val="006B6F68"/>
    <w:rsid w:val="006B7261"/>
    <w:rsid w:val="006C1A50"/>
    <w:rsid w:val="006C2596"/>
    <w:rsid w:val="006C48B6"/>
    <w:rsid w:val="006C4A53"/>
    <w:rsid w:val="006C5197"/>
    <w:rsid w:val="006C54EA"/>
    <w:rsid w:val="006C6732"/>
    <w:rsid w:val="006C68C7"/>
    <w:rsid w:val="006C6DFA"/>
    <w:rsid w:val="006D0CDB"/>
    <w:rsid w:val="006D3138"/>
    <w:rsid w:val="006D3B07"/>
    <w:rsid w:val="006D3E34"/>
    <w:rsid w:val="006D4680"/>
    <w:rsid w:val="006D56B4"/>
    <w:rsid w:val="006D644D"/>
    <w:rsid w:val="006D7207"/>
    <w:rsid w:val="006E002F"/>
    <w:rsid w:val="006E0554"/>
    <w:rsid w:val="006E1AAE"/>
    <w:rsid w:val="006E243E"/>
    <w:rsid w:val="006E35D9"/>
    <w:rsid w:val="006E405D"/>
    <w:rsid w:val="006E63F7"/>
    <w:rsid w:val="006E642E"/>
    <w:rsid w:val="006E64ED"/>
    <w:rsid w:val="006E689D"/>
    <w:rsid w:val="006E719A"/>
    <w:rsid w:val="006E79A7"/>
    <w:rsid w:val="006F3FEB"/>
    <w:rsid w:val="006F62D3"/>
    <w:rsid w:val="006F63DF"/>
    <w:rsid w:val="006F69EB"/>
    <w:rsid w:val="006F6ACD"/>
    <w:rsid w:val="00700E13"/>
    <w:rsid w:val="00702F4B"/>
    <w:rsid w:val="00702FC8"/>
    <w:rsid w:val="00703D94"/>
    <w:rsid w:val="007054F1"/>
    <w:rsid w:val="00706036"/>
    <w:rsid w:val="00710342"/>
    <w:rsid w:val="0071152E"/>
    <w:rsid w:val="00711A5F"/>
    <w:rsid w:val="00712060"/>
    <w:rsid w:val="007132AD"/>
    <w:rsid w:val="00714B11"/>
    <w:rsid w:val="00715922"/>
    <w:rsid w:val="00717288"/>
    <w:rsid w:val="007174F8"/>
    <w:rsid w:val="00717E71"/>
    <w:rsid w:val="007208B1"/>
    <w:rsid w:val="007208F5"/>
    <w:rsid w:val="00724691"/>
    <w:rsid w:val="00724728"/>
    <w:rsid w:val="00724892"/>
    <w:rsid w:val="00730C51"/>
    <w:rsid w:val="0073334C"/>
    <w:rsid w:val="00733385"/>
    <w:rsid w:val="00736FD1"/>
    <w:rsid w:val="00741BAF"/>
    <w:rsid w:val="00744612"/>
    <w:rsid w:val="00744E16"/>
    <w:rsid w:val="00746BC0"/>
    <w:rsid w:val="00747B2B"/>
    <w:rsid w:val="007505DD"/>
    <w:rsid w:val="007513DE"/>
    <w:rsid w:val="00752239"/>
    <w:rsid w:val="0075282C"/>
    <w:rsid w:val="00752983"/>
    <w:rsid w:val="00752D69"/>
    <w:rsid w:val="007532DB"/>
    <w:rsid w:val="0075366B"/>
    <w:rsid w:val="00756109"/>
    <w:rsid w:val="00756D22"/>
    <w:rsid w:val="007575B7"/>
    <w:rsid w:val="00757C1E"/>
    <w:rsid w:val="007606C6"/>
    <w:rsid w:val="00761824"/>
    <w:rsid w:val="00761842"/>
    <w:rsid w:val="007628C3"/>
    <w:rsid w:val="00764A80"/>
    <w:rsid w:val="0076589F"/>
    <w:rsid w:val="00767166"/>
    <w:rsid w:val="007673DB"/>
    <w:rsid w:val="00767D71"/>
    <w:rsid w:val="00770049"/>
    <w:rsid w:val="00770A20"/>
    <w:rsid w:val="007715DC"/>
    <w:rsid w:val="00771F9F"/>
    <w:rsid w:val="0077612D"/>
    <w:rsid w:val="00776408"/>
    <w:rsid w:val="00777A97"/>
    <w:rsid w:val="00777B7A"/>
    <w:rsid w:val="00780115"/>
    <w:rsid w:val="007819D2"/>
    <w:rsid w:val="00782897"/>
    <w:rsid w:val="00782E43"/>
    <w:rsid w:val="007862D6"/>
    <w:rsid w:val="007906EB"/>
    <w:rsid w:val="00790750"/>
    <w:rsid w:val="00791E0B"/>
    <w:rsid w:val="00792F9D"/>
    <w:rsid w:val="007932BD"/>
    <w:rsid w:val="00793C78"/>
    <w:rsid w:val="00795AF0"/>
    <w:rsid w:val="00795B5E"/>
    <w:rsid w:val="00797D3A"/>
    <w:rsid w:val="007A09C0"/>
    <w:rsid w:val="007A4939"/>
    <w:rsid w:val="007B19C0"/>
    <w:rsid w:val="007B20E3"/>
    <w:rsid w:val="007B3B7B"/>
    <w:rsid w:val="007B6E81"/>
    <w:rsid w:val="007B6FF7"/>
    <w:rsid w:val="007C1DCA"/>
    <w:rsid w:val="007C2991"/>
    <w:rsid w:val="007C4CA5"/>
    <w:rsid w:val="007C53DF"/>
    <w:rsid w:val="007C6157"/>
    <w:rsid w:val="007D0EC3"/>
    <w:rsid w:val="007D2561"/>
    <w:rsid w:val="007D3CBD"/>
    <w:rsid w:val="007E0EFA"/>
    <w:rsid w:val="007E207F"/>
    <w:rsid w:val="007E2B60"/>
    <w:rsid w:val="007E2D5D"/>
    <w:rsid w:val="007E54E5"/>
    <w:rsid w:val="007E5B37"/>
    <w:rsid w:val="007E5EA7"/>
    <w:rsid w:val="007E6912"/>
    <w:rsid w:val="007F07AE"/>
    <w:rsid w:val="007F0F31"/>
    <w:rsid w:val="007F0FF5"/>
    <w:rsid w:val="007F16E0"/>
    <w:rsid w:val="007F3ACD"/>
    <w:rsid w:val="007F507B"/>
    <w:rsid w:val="007F5ECA"/>
    <w:rsid w:val="007F6B75"/>
    <w:rsid w:val="00800E04"/>
    <w:rsid w:val="0080185A"/>
    <w:rsid w:val="00804F8E"/>
    <w:rsid w:val="00805555"/>
    <w:rsid w:val="00811361"/>
    <w:rsid w:val="00816083"/>
    <w:rsid w:val="008162B2"/>
    <w:rsid w:val="00821883"/>
    <w:rsid w:val="00823941"/>
    <w:rsid w:val="00823FA8"/>
    <w:rsid w:val="00824B40"/>
    <w:rsid w:val="008250B7"/>
    <w:rsid w:val="008263C8"/>
    <w:rsid w:val="0082727C"/>
    <w:rsid w:val="008279F1"/>
    <w:rsid w:val="008316FA"/>
    <w:rsid w:val="00833653"/>
    <w:rsid w:val="00833BF3"/>
    <w:rsid w:val="00835F0E"/>
    <w:rsid w:val="0083620D"/>
    <w:rsid w:val="00836B65"/>
    <w:rsid w:val="00840440"/>
    <w:rsid w:val="00840CDA"/>
    <w:rsid w:val="0084111C"/>
    <w:rsid w:val="008444BA"/>
    <w:rsid w:val="008447A1"/>
    <w:rsid w:val="00845549"/>
    <w:rsid w:val="00846BD3"/>
    <w:rsid w:val="0085005D"/>
    <w:rsid w:val="00850123"/>
    <w:rsid w:val="00851CF6"/>
    <w:rsid w:val="00856754"/>
    <w:rsid w:val="00856ADD"/>
    <w:rsid w:val="0085706E"/>
    <w:rsid w:val="00857B5E"/>
    <w:rsid w:val="008602D5"/>
    <w:rsid w:val="008613A1"/>
    <w:rsid w:val="00861791"/>
    <w:rsid w:val="0086312C"/>
    <w:rsid w:val="00863F4A"/>
    <w:rsid w:val="00865BBA"/>
    <w:rsid w:val="00867C17"/>
    <w:rsid w:val="00867FA8"/>
    <w:rsid w:val="00872C66"/>
    <w:rsid w:val="00874C1F"/>
    <w:rsid w:val="00875BF1"/>
    <w:rsid w:val="008803B5"/>
    <w:rsid w:val="0088041E"/>
    <w:rsid w:val="008845FE"/>
    <w:rsid w:val="00884D58"/>
    <w:rsid w:val="008855FA"/>
    <w:rsid w:val="008856D3"/>
    <w:rsid w:val="00886D40"/>
    <w:rsid w:val="0088761C"/>
    <w:rsid w:val="00887EC1"/>
    <w:rsid w:val="008959DC"/>
    <w:rsid w:val="008A021A"/>
    <w:rsid w:val="008A096B"/>
    <w:rsid w:val="008A151D"/>
    <w:rsid w:val="008A1DD9"/>
    <w:rsid w:val="008A1FC0"/>
    <w:rsid w:val="008A200C"/>
    <w:rsid w:val="008A2C59"/>
    <w:rsid w:val="008A2C89"/>
    <w:rsid w:val="008A2DC8"/>
    <w:rsid w:val="008A364B"/>
    <w:rsid w:val="008A46C8"/>
    <w:rsid w:val="008A53CF"/>
    <w:rsid w:val="008A5E2C"/>
    <w:rsid w:val="008B0C4A"/>
    <w:rsid w:val="008B23F9"/>
    <w:rsid w:val="008B750B"/>
    <w:rsid w:val="008B7BAA"/>
    <w:rsid w:val="008C19D9"/>
    <w:rsid w:val="008C3D7F"/>
    <w:rsid w:val="008C44C8"/>
    <w:rsid w:val="008C6FB1"/>
    <w:rsid w:val="008D2866"/>
    <w:rsid w:val="008D2A70"/>
    <w:rsid w:val="008D2D0C"/>
    <w:rsid w:val="008E0750"/>
    <w:rsid w:val="008E0E2B"/>
    <w:rsid w:val="008E1802"/>
    <w:rsid w:val="008E1B68"/>
    <w:rsid w:val="008E50C2"/>
    <w:rsid w:val="008E7CC6"/>
    <w:rsid w:val="008F246B"/>
    <w:rsid w:val="008F27E4"/>
    <w:rsid w:val="008F3C7A"/>
    <w:rsid w:val="008F5151"/>
    <w:rsid w:val="008F5B04"/>
    <w:rsid w:val="008F619E"/>
    <w:rsid w:val="008F7F83"/>
    <w:rsid w:val="00900CCA"/>
    <w:rsid w:val="0090358D"/>
    <w:rsid w:val="00904000"/>
    <w:rsid w:val="009060AA"/>
    <w:rsid w:val="009068A3"/>
    <w:rsid w:val="00907958"/>
    <w:rsid w:val="009103F3"/>
    <w:rsid w:val="009123EF"/>
    <w:rsid w:val="00913037"/>
    <w:rsid w:val="009136B8"/>
    <w:rsid w:val="00914046"/>
    <w:rsid w:val="00914637"/>
    <w:rsid w:val="00914A5A"/>
    <w:rsid w:val="00917191"/>
    <w:rsid w:val="009177B3"/>
    <w:rsid w:val="009208FD"/>
    <w:rsid w:val="00923697"/>
    <w:rsid w:val="00923B53"/>
    <w:rsid w:val="00924304"/>
    <w:rsid w:val="00924EE9"/>
    <w:rsid w:val="00927131"/>
    <w:rsid w:val="00932A65"/>
    <w:rsid w:val="00933A8F"/>
    <w:rsid w:val="00934C5A"/>
    <w:rsid w:val="00935ACA"/>
    <w:rsid w:val="009405E5"/>
    <w:rsid w:val="0094250F"/>
    <w:rsid w:val="00942C45"/>
    <w:rsid w:val="00942CF7"/>
    <w:rsid w:val="00945C2E"/>
    <w:rsid w:val="00945F62"/>
    <w:rsid w:val="009460AF"/>
    <w:rsid w:val="00950797"/>
    <w:rsid w:val="00952107"/>
    <w:rsid w:val="00952609"/>
    <w:rsid w:val="00953C3A"/>
    <w:rsid w:val="00957262"/>
    <w:rsid w:val="00957384"/>
    <w:rsid w:val="009604AE"/>
    <w:rsid w:val="00960625"/>
    <w:rsid w:val="00974297"/>
    <w:rsid w:val="009759EF"/>
    <w:rsid w:val="00977586"/>
    <w:rsid w:val="00982DC2"/>
    <w:rsid w:val="00985EF1"/>
    <w:rsid w:val="00986A65"/>
    <w:rsid w:val="00986C58"/>
    <w:rsid w:val="00991141"/>
    <w:rsid w:val="0099234C"/>
    <w:rsid w:val="00992448"/>
    <w:rsid w:val="00996010"/>
    <w:rsid w:val="00997403"/>
    <w:rsid w:val="009A0026"/>
    <w:rsid w:val="009A02E5"/>
    <w:rsid w:val="009A12E1"/>
    <w:rsid w:val="009A1D9F"/>
    <w:rsid w:val="009A4FCE"/>
    <w:rsid w:val="009A6B60"/>
    <w:rsid w:val="009A6B89"/>
    <w:rsid w:val="009B1370"/>
    <w:rsid w:val="009B28B4"/>
    <w:rsid w:val="009B2F75"/>
    <w:rsid w:val="009B3558"/>
    <w:rsid w:val="009B3B8D"/>
    <w:rsid w:val="009B784E"/>
    <w:rsid w:val="009C1E23"/>
    <w:rsid w:val="009C2E8A"/>
    <w:rsid w:val="009C30FC"/>
    <w:rsid w:val="009C3F7C"/>
    <w:rsid w:val="009C4509"/>
    <w:rsid w:val="009C5228"/>
    <w:rsid w:val="009C65E3"/>
    <w:rsid w:val="009D2CCE"/>
    <w:rsid w:val="009D53E6"/>
    <w:rsid w:val="009D751E"/>
    <w:rsid w:val="009D7FD6"/>
    <w:rsid w:val="009E1C8E"/>
    <w:rsid w:val="009E44F4"/>
    <w:rsid w:val="009E4D7D"/>
    <w:rsid w:val="009E5ED2"/>
    <w:rsid w:val="009E660E"/>
    <w:rsid w:val="009E75D7"/>
    <w:rsid w:val="009E7F1B"/>
    <w:rsid w:val="009F0303"/>
    <w:rsid w:val="009F09A5"/>
    <w:rsid w:val="009F0C28"/>
    <w:rsid w:val="009F243E"/>
    <w:rsid w:val="009F4168"/>
    <w:rsid w:val="009F52A5"/>
    <w:rsid w:val="009F6733"/>
    <w:rsid w:val="00A01F5B"/>
    <w:rsid w:val="00A02522"/>
    <w:rsid w:val="00A0476D"/>
    <w:rsid w:val="00A07690"/>
    <w:rsid w:val="00A105A9"/>
    <w:rsid w:val="00A12744"/>
    <w:rsid w:val="00A13380"/>
    <w:rsid w:val="00A14DF3"/>
    <w:rsid w:val="00A14FA4"/>
    <w:rsid w:val="00A15295"/>
    <w:rsid w:val="00A15413"/>
    <w:rsid w:val="00A165FC"/>
    <w:rsid w:val="00A16DCC"/>
    <w:rsid w:val="00A17083"/>
    <w:rsid w:val="00A2275B"/>
    <w:rsid w:val="00A22AC3"/>
    <w:rsid w:val="00A24180"/>
    <w:rsid w:val="00A26860"/>
    <w:rsid w:val="00A30C68"/>
    <w:rsid w:val="00A31993"/>
    <w:rsid w:val="00A31D54"/>
    <w:rsid w:val="00A3238E"/>
    <w:rsid w:val="00A32E56"/>
    <w:rsid w:val="00A368A2"/>
    <w:rsid w:val="00A36A39"/>
    <w:rsid w:val="00A36A3F"/>
    <w:rsid w:val="00A37114"/>
    <w:rsid w:val="00A41D03"/>
    <w:rsid w:val="00A420A1"/>
    <w:rsid w:val="00A44868"/>
    <w:rsid w:val="00A452D4"/>
    <w:rsid w:val="00A45493"/>
    <w:rsid w:val="00A4679D"/>
    <w:rsid w:val="00A47389"/>
    <w:rsid w:val="00A513A0"/>
    <w:rsid w:val="00A5244C"/>
    <w:rsid w:val="00A525CB"/>
    <w:rsid w:val="00A55897"/>
    <w:rsid w:val="00A57B4A"/>
    <w:rsid w:val="00A57D51"/>
    <w:rsid w:val="00A60123"/>
    <w:rsid w:val="00A6435F"/>
    <w:rsid w:val="00A643AE"/>
    <w:rsid w:val="00A64979"/>
    <w:rsid w:val="00A64DF0"/>
    <w:rsid w:val="00A70181"/>
    <w:rsid w:val="00A7035D"/>
    <w:rsid w:val="00A7158B"/>
    <w:rsid w:val="00A7174E"/>
    <w:rsid w:val="00A7194D"/>
    <w:rsid w:val="00A71C3A"/>
    <w:rsid w:val="00A732A8"/>
    <w:rsid w:val="00A739CD"/>
    <w:rsid w:val="00A74A25"/>
    <w:rsid w:val="00A76D4E"/>
    <w:rsid w:val="00A77DE7"/>
    <w:rsid w:val="00A80279"/>
    <w:rsid w:val="00A80338"/>
    <w:rsid w:val="00A80358"/>
    <w:rsid w:val="00A80A31"/>
    <w:rsid w:val="00A8182D"/>
    <w:rsid w:val="00A8278A"/>
    <w:rsid w:val="00A84EF9"/>
    <w:rsid w:val="00A86214"/>
    <w:rsid w:val="00A877F8"/>
    <w:rsid w:val="00A90DE0"/>
    <w:rsid w:val="00A92493"/>
    <w:rsid w:val="00A92ADB"/>
    <w:rsid w:val="00A95ADC"/>
    <w:rsid w:val="00AA0205"/>
    <w:rsid w:val="00AA2BA6"/>
    <w:rsid w:val="00AA3725"/>
    <w:rsid w:val="00AA6736"/>
    <w:rsid w:val="00AA6931"/>
    <w:rsid w:val="00AA7C0D"/>
    <w:rsid w:val="00AB0113"/>
    <w:rsid w:val="00AB09EF"/>
    <w:rsid w:val="00AB1F49"/>
    <w:rsid w:val="00AB5097"/>
    <w:rsid w:val="00AB5314"/>
    <w:rsid w:val="00AB6AF2"/>
    <w:rsid w:val="00AB7A90"/>
    <w:rsid w:val="00AC1641"/>
    <w:rsid w:val="00AC2063"/>
    <w:rsid w:val="00AC5ED2"/>
    <w:rsid w:val="00AC7FCD"/>
    <w:rsid w:val="00AD09A1"/>
    <w:rsid w:val="00AD1BCB"/>
    <w:rsid w:val="00AD3417"/>
    <w:rsid w:val="00AD4D17"/>
    <w:rsid w:val="00AD5461"/>
    <w:rsid w:val="00AE1FF5"/>
    <w:rsid w:val="00AE4C80"/>
    <w:rsid w:val="00AE4E2F"/>
    <w:rsid w:val="00AE7DC4"/>
    <w:rsid w:val="00AF0A3F"/>
    <w:rsid w:val="00AF3134"/>
    <w:rsid w:val="00AF3D6D"/>
    <w:rsid w:val="00AF45BC"/>
    <w:rsid w:val="00AF472B"/>
    <w:rsid w:val="00AF50AB"/>
    <w:rsid w:val="00AF6151"/>
    <w:rsid w:val="00B00C01"/>
    <w:rsid w:val="00B012EE"/>
    <w:rsid w:val="00B029DB"/>
    <w:rsid w:val="00B0594E"/>
    <w:rsid w:val="00B065DB"/>
    <w:rsid w:val="00B066EF"/>
    <w:rsid w:val="00B10B67"/>
    <w:rsid w:val="00B11CFA"/>
    <w:rsid w:val="00B12EFC"/>
    <w:rsid w:val="00B13FB9"/>
    <w:rsid w:val="00B14738"/>
    <w:rsid w:val="00B17066"/>
    <w:rsid w:val="00B20E1C"/>
    <w:rsid w:val="00B214E0"/>
    <w:rsid w:val="00B21BCB"/>
    <w:rsid w:val="00B21F13"/>
    <w:rsid w:val="00B234F5"/>
    <w:rsid w:val="00B2525B"/>
    <w:rsid w:val="00B272D1"/>
    <w:rsid w:val="00B27719"/>
    <w:rsid w:val="00B33C79"/>
    <w:rsid w:val="00B3568D"/>
    <w:rsid w:val="00B37B3C"/>
    <w:rsid w:val="00B412E8"/>
    <w:rsid w:val="00B41455"/>
    <w:rsid w:val="00B41D0D"/>
    <w:rsid w:val="00B41D74"/>
    <w:rsid w:val="00B4297D"/>
    <w:rsid w:val="00B43E7C"/>
    <w:rsid w:val="00B44250"/>
    <w:rsid w:val="00B45601"/>
    <w:rsid w:val="00B47793"/>
    <w:rsid w:val="00B47A7C"/>
    <w:rsid w:val="00B52DAC"/>
    <w:rsid w:val="00B532B7"/>
    <w:rsid w:val="00B53BD2"/>
    <w:rsid w:val="00B55734"/>
    <w:rsid w:val="00B56485"/>
    <w:rsid w:val="00B62DE2"/>
    <w:rsid w:val="00B64E01"/>
    <w:rsid w:val="00B66422"/>
    <w:rsid w:val="00B66FDE"/>
    <w:rsid w:val="00B6768E"/>
    <w:rsid w:val="00B713D4"/>
    <w:rsid w:val="00B71985"/>
    <w:rsid w:val="00B71999"/>
    <w:rsid w:val="00B7361A"/>
    <w:rsid w:val="00B73FFA"/>
    <w:rsid w:val="00B756D8"/>
    <w:rsid w:val="00B77E4D"/>
    <w:rsid w:val="00B77E67"/>
    <w:rsid w:val="00B80068"/>
    <w:rsid w:val="00B8103B"/>
    <w:rsid w:val="00B82583"/>
    <w:rsid w:val="00B83248"/>
    <w:rsid w:val="00B85761"/>
    <w:rsid w:val="00B87F71"/>
    <w:rsid w:val="00B9001A"/>
    <w:rsid w:val="00B93055"/>
    <w:rsid w:val="00B93A09"/>
    <w:rsid w:val="00B94C0C"/>
    <w:rsid w:val="00B94EBE"/>
    <w:rsid w:val="00B96127"/>
    <w:rsid w:val="00B96BD1"/>
    <w:rsid w:val="00BA003B"/>
    <w:rsid w:val="00BA03AA"/>
    <w:rsid w:val="00BA0B3B"/>
    <w:rsid w:val="00BA0F68"/>
    <w:rsid w:val="00BA1536"/>
    <w:rsid w:val="00BA1B2F"/>
    <w:rsid w:val="00BA30FD"/>
    <w:rsid w:val="00BA3D61"/>
    <w:rsid w:val="00BA4E20"/>
    <w:rsid w:val="00BA6D62"/>
    <w:rsid w:val="00BA7D48"/>
    <w:rsid w:val="00BB07FF"/>
    <w:rsid w:val="00BB0E70"/>
    <w:rsid w:val="00BB22EE"/>
    <w:rsid w:val="00BB3363"/>
    <w:rsid w:val="00BB3844"/>
    <w:rsid w:val="00BB4D46"/>
    <w:rsid w:val="00BC10E7"/>
    <w:rsid w:val="00BC30BD"/>
    <w:rsid w:val="00BC3A3B"/>
    <w:rsid w:val="00BC3E66"/>
    <w:rsid w:val="00BC3ED9"/>
    <w:rsid w:val="00BC7126"/>
    <w:rsid w:val="00BD309B"/>
    <w:rsid w:val="00BD348A"/>
    <w:rsid w:val="00BD55B0"/>
    <w:rsid w:val="00BD6308"/>
    <w:rsid w:val="00BD63E7"/>
    <w:rsid w:val="00BD6DDE"/>
    <w:rsid w:val="00BD6EB9"/>
    <w:rsid w:val="00BD77C4"/>
    <w:rsid w:val="00BE1813"/>
    <w:rsid w:val="00BE240A"/>
    <w:rsid w:val="00BE4ACE"/>
    <w:rsid w:val="00BE51A3"/>
    <w:rsid w:val="00BF019C"/>
    <w:rsid w:val="00BF1257"/>
    <w:rsid w:val="00BF23E2"/>
    <w:rsid w:val="00BF546D"/>
    <w:rsid w:val="00BF7175"/>
    <w:rsid w:val="00BF735D"/>
    <w:rsid w:val="00BF7502"/>
    <w:rsid w:val="00C019F4"/>
    <w:rsid w:val="00C027EE"/>
    <w:rsid w:val="00C07268"/>
    <w:rsid w:val="00C108DE"/>
    <w:rsid w:val="00C11134"/>
    <w:rsid w:val="00C120D3"/>
    <w:rsid w:val="00C13427"/>
    <w:rsid w:val="00C1343E"/>
    <w:rsid w:val="00C13F82"/>
    <w:rsid w:val="00C14893"/>
    <w:rsid w:val="00C150B3"/>
    <w:rsid w:val="00C152C7"/>
    <w:rsid w:val="00C160D3"/>
    <w:rsid w:val="00C21756"/>
    <w:rsid w:val="00C2490D"/>
    <w:rsid w:val="00C2494A"/>
    <w:rsid w:val="00C24AA8"/>
    <w:rsid w:val="00C24BAB"/>
    <w:rsid w:val="00C252E9"/>
    <w:rsid w:val="00C255EC"/>
    <w:rsid w:val="00C30910"/>
    <w:rsid w:val="00C31C14"/>
    <w:rsid w:val="00C333B9"/>
    <w:rsid w:val="00C333C0"/>
    <w:rsid w:val="00C358D4"/>
    <w:rsid w:val="00C3722E"/>
    <w:rsid w:val="00C4055C"/>
    <w:rsid w:val="00C41636"/>
    <w:rsid w:val="00C43E2D"/>
    <w:rsid w:val="00C456CC"/>
    <w:rsid w:val="00C458A4"/>
    <w:rsid w:val="00C46677"/>
    <w:rsid w:val="00C46DD2"/>
    <w:rsid w:val="00C47841"/>
    <w:rsid w:val="00C50F78"/>
    <w:rsid w:val="00C517D8"/>
    <w:rsid w:val="00C529DB"/>
    <w:rsid w:val="00C537DB"/>
    <w:rsid w:val="00C55127"/>
    <w:rsid w:val="00C55391"/>
    <w:rsid w:val="00C60FB0"/>
    <w:rsid w:val="00C616A6"/>
    <w:rsid w:val="00C64716"/>
    <w:rsid w:val="00C64D5C"/>
    <w:rsid w:val="00C664BC"/>
    <w:rsid w:val="00C7057D"/>
    <w:rsid w:val="00C70C35"/>
    <w:rsid w:val="00C719CA"/>
    <w:rsid w:val="00C71A03"/>
    <w:rsid w:val="00C72559"/>
    <w:rsid w:val="00C73EAE"/>
    <w:rsid w:val="00C765D9"/>
    <w:rsid w:val="00C77135"/>
    <w:rsid w:val="00C8082C"/>
    <w:rsid w:val="00C80B1E"/>
    <w:rsid w:val="00C82AC6"/>
    <w:rsid w:val="00C8332B"/>
    <w:rsid w:val="00C839BD"/>
    <w:rsid w:val="00C857EF"/>
    <w:rsid w:val="00C85CB2"/>
    <w:rsid w:val="00C8753F"/>
    <w:rsid w:val="00C91575"/>
    <w:rsid w:val="00C91C09"/>
    <w:rsid w:val="00C933A0"/>
    <w:rsid w:val="00C93694"/>
    <w:rsid w:val="00C96A02"/>
    <w:rsid w:val="00C972FB"/>
    <w:rsid w:val="00CA0022"/>
    <w:rsid w:val="00CA047A"/>
    <w:rsid w:val="00CA04B8"/>
    <w:rsid w:val="00CA084C"/>
    <w:rsid w:val="00CA2C7D"/>
    <w:rsid w:val="00CA4605"/>
    <w:rsid w:val="00CA7301"/>
    <w:rsid w:val="00CB01F7"/>
    <w:rsid w:val="00CB0407"/>
    <w:rsid w:val="00CB10C5"/>
    <w:rsid w:val="00CB21C5"/>
    <w:rsid w:val="00CB3420"/>
    <w:rsid w:val="00CB46CF"/>
    <w:rsid w:val="00CB5153"/>
    <w:rsid w:val="00CB620C"/>
    <w:rsid w:val="00CB70E9"/>
    <w:rsid w:val="00CB78C1"/>
    <w:rsid w:val="00CC0AE6"/>
    <w:rsid w:val="00CC191C"/>
    <w:rsid w:val="00CC2175"/>
    <w:rsid w:val="00CC267B"/>
    <w:rsid w:val="00CC2D14"/>
    <w:rsid w:val="00CC7113"/>
    <w:rsid w:val="00CD03F8"/>
    <w:rsid w:val="00CD12F8"/>
    <w:rsid w:val="00CD1B03"/>
    <w:rsid w:val="00CD433C"/>
    <w:rsid w:val="00CD5474"/>
    <w:rsid w:val="00CD685C"/>
    <w:rsid w:val="00CE0932"/>
    <w:rsid w:val="00CE218D"/>
    <w:rsid w:val="00CE248B"/>
    <w:rsid w:val="00CE2EAD"/>
    <w:rsid w:val="00CE341C"/>
    <w:rsid w:val="00CE34A0"/>
    <w:rsid w:val="00CE3AE7"/>
    <w:rsid w:val="00CE3E4F"/>
    <w:rsid w:val="00CE457B"/>
    <w:rsid w:val="00CF065D"/>
    <w:rsid w:val="00CF0CD2"/>
    <w:rsid w:val="00CF1D9F"/>
    <w:rsid w:val="00CF324B"/>
    <w:rsid w:val="00CF3F42"/>
    <w:rsid w:val="00CF532E"/>
    <w:rsid w:val="00CF5D93"/>
    <w:rsid w:val="00D01218"/>
    <w:rsid w:val="00D0149F"/>
    <w:rsid w:val="00D02139"/>
    <w:rsid w:val="00D0379F"/>
    <w:rsid w:val="00D037D3"/>
    <w:rsid w:val="00D03EB0"/>
    <w:rsid w:val="00D0432E"/>
    <w:rsid w:val="00D06444"/>
    <w:rsid w:val="00D06BAA"/>
    <w:rsid w:val="00D12187"/>
    <w:rsid w:val="00D12BC3"/>
    <w:rsid w:val="00D14821"/>
    <w:rsid w:val="00D15168"/>
    <w:rsid w:val="00D1522E"/>
    <w:rsid w:val="00D1529F"/>
    <w:rsid w:val="00D16E03"/>
    <w:rsid w:val="00D20F9E"/>
    <w:rsid w:val="00D21139"/>
    <w:rsid w:val="00D21613"/>
    <w:rsid w:val="00D2175E"/>
    <w:rsid w:val="00D22288"/>
    <w:rsid w:val="00D233A0"/>
    <w:rsid w:val="00D24338"/>
    <w:rsid w:val="00D25E61"/>
    <w:rsid w:val="00D30973"/>
    <w:rsid w:val="00D31FB8"/>
    <w:rsid w:val="00D32B0E"/>
    <w:rsid w:val="00D334F6"/>
    <w:rsid w:val="00D33547"/>
    <w:rsid w:val="00D339F1"/>
    <w:rsid w:val="00D34F95"/>
    <w:rsid w:val="00D365B0"/>
    <w:rsid w:val="00D373EC"/>
    <w:rsid w:val="00D3776D"/>
    <w:rsid w:val="00D37C29"/>
    <w:rsid w:val="00D4049A"/>
    <w:rsid w:val="00D43DAF"/>
    <w:rsid w:val="00D440ED"/>
    <w:rsid w:val="00D4454F"/>
    <w:rsid w:val="00D44E76"/>
    <w:rsid w:val="00D45988"/>
    <w:rsid w:val="00D462C7"/>
    <w:rsid w:val="00D46D11"/>
    <w:rsid w:val="00D46E00"/>
    <w:rsid w:val="00D47A47"/>
    <w:rsid w:val="00D47BB8"/>
    <w:rsid w:val="00D50E12"/>
    <w:rsid w:val="00D51420"/>
    <w:rsid w:val="00D51590"/>
    <w:rsid w:val="00D5367D"/>
    <w:rsid w:val="00D53702"/>
    <w:rsid w:val="00D54D09"/>
    <w:rsid w:val="00D551C4"/>
    <w:rsid w:val="00D55F95"/>
    <w:rsid w:val="00D57AE3"/>
    <w:rsid w:val="00D607ED"/>
    <w:rsid w:val="00D60ED3"/>
    <w:rsid w:val="00D60FED"/>
    <w:rsid w:val="00D631B6"/>
    <w:rsid w:val="00D66232"/>
    <w:rsid w:val="00D66581"/>
    <w:rsid w:val="00D671A4"/>
    <w:rsid w:val="00D67DE7"/>
    <w:rsid w:val="00D67FF6"/>
    <w:rsid w:val="00D75200"/>
    <w:rsid w:val="00D75936"/>
    <w:rsid w:val="00D75F87"/>
    <w:rsid w:val="00D761FE"/>
    <w:rsid w:val="00D7719D"/>
    <w:rsid w:val="00D776C4"/>
    <w:rsid w:val="00D80D42"/>
    <w:rsid w:val="00D817A9"/>
    <w:rsid w:val="00D821F2"/>
    <w:rsid w:val="00D82FDA"/>
    <w:rsid w:val="00D831A4"/>
    <w:rsid w:val="00D83750"/>
    <w:rsid w:val="00D83BCB"/>
    <w:rsid w:val="00D83D30"/>
    <w:rsid w:val="00D83EB7"/>
    <w:rsid w:val="00D83ECF"/>
    <w:rsid w:val="00D84ECB"/>
    <w:rsid w:val="00D84EFC"/>
    <w:rsid w:val="00D84FF1"/>
    <w:rsid w:val="00D85AC1"/>
    <w:rsid w:val="00D873E8"/>
    <w:rsid w:val="00D876CD"/>
    <w:rsid w:val="00D91350"/>
    <w:rsid w:val="00D9224D"/>
    <w:rsid w:val="00D9346E"/>
    <w:rsid w:val="00D93BC7"/>
    <w:rsid w:val="00D94BCE"/>
    <w:rsid w:val="00D95A68"/>
    <w:rsid w:val="00D95EFB"/>
    <w:rsid w:val="00D96F49"/>
    <w:rsid w:val="00D9752B"/>
    <w:rsid w:val="00DA20DD"/>
    <w:rsid w:val="00DA37C3"/>
    <w:rsid w:val="00DA3900"/>
    <w:rsid w:val="00DA3EF6"/>
    <w:rsid w:val="00DA5AC5"/>
    <w:rsid w:val="00DA5E04"/>
    <w:rsid w:val="00DA6258"/>
    <w:rsid w:val="00DA71E0"/>
    <w:rsid w:val="00DB12B4"/>
    <w:rsid w:val="00DB16F2"/>
    <w:rsid w:val="00DB21E2"/>
    <w:rsid w:val="00DB2D5A"/>
    <w:rsid w:val="00DB2D64"/>
    <w:rsid w:val="00DB47A5"/>
    <w:rsid w:val="00DB4CDB"/>
    <w:rsid w:val="00DB59E4"/>
    <w:rsid w:val="00DB6D8B"/>
    <w:rsid w:val="00DB72F4"/>
    <w:rsid w:val="00DC11A6"/>
    <w:rsid w:val="00DC2D52"/>
    <w:rsid w:val="00DC2FBA"/>
    <w:rsid w:val="00DC40FD"/>
    <w:rsid w:val="00DC4BB0"/>
    <w:rsid w:val="00DC7D40"/>
    <w:rsid w:val="00DD3B7A"/>
    <w:rsid w:val="00DD4BAE"/>
    <w:rsid w:val="00DD57FA"/>
    <w:rsid w:val="00DD5A98"/>
    <w:rsid w:val="00DD7987"/>
    <w:rsid w:val="00DE09BD"/>
    <w:rsid w:val="00DE09ED"/>
    <w:rsid w:val="00DE2226"/>
    <w:rsid w:val="00DE3528"/>
    <w:rsid w:val="00DE54DE"/>
    <w:rsid w:val="00DF13FA"/>
    <w:rsid w:val="00DF57D4"/>
    <w:rsid w:val="00DF5D93"/>
    <w:rsid w:val="00DF6057"/>
    <w:rsid w:val="00DF67AC"/>
    <w:rsid w:val="00DF6EA4"/>
    <w:rsid w:val="00DF78D8"/>
    <w:rsid w:val="00DF7976"/>
    <w:rsid w:val="00E00D22"/>
    <w:rsid w:val="00E01C0B"/>
    <w:rsid w:val="00E01CB8"/>
    <w:rsid w:val="00E0243C"/>
    <w:rsid w:val="00E0273C"/>
    <w:rsid w:val="00E02BE0"/>
    <w:rsid w:val="00E02C7A"/>
    <w:rsid w:val="00E06123"/>
    <w:rsid w:val="00E10A8C"/>
    <w:rsid w:val="00E11AA1"/>
    <w:rsid w:val="00E11F88"/>
    <w:rsid w:val="00E14C85"/>
    <w:rsid w:val="00E16688"/>
    <w:rsid w:val="00E169C9"/>
    <w:rsid w:val="00E20BB7"/>
    <w:rsid w:val="00E239DB"/>
    <w:rsid w:val="00E23EB1"/>
    <w:rsid w:val="00E24851"/>
    <w:rsid w:val="00E250AA"/>
    <w:rsid w:val="00E274A6"/>
    <w:rsid w:val="00E27B08"/>
    <w:rsid w:val="00E30263"/>
    <w:rsid w:val="00E30395"/>
    <w:rsid w:val="00E305A8"/>
    <w:rsid w:val="00E31263"/>
    <w:rsid w:val="00E33180"/>
    <w:rsid w:val="00E34D03"/>
    <w:rsid w:val="00E352DB"/>
    <w:rsid w:val="00E35886"/>
    <w:rsid w:val="00E36DDA"/>
    <w:rsid w:val="00E40017"/>
    <w:rsid w:val="00E410A5"/>
    <w:rsid w:val="00E41335"/>
    <w:rsid w:val="00E41355"/>
    <w:rsid w:val="00E41437"/>
    <w:rsid w:val="00E41B86"/>
    <w:rsid w:val="00E425BC"/>
    <w:rsid w:val="00E444C3"/>
    <w:rsid w:val="00E452DF"/>
    <w:rsid w:val="00E45C33"/>
    <w:rsid w:val="00E46455"/>
    <w:rsid w:val="00E46675"/>
    <w:rsid w:val="00E47311"/>
    <w:rsid w:val="00E555AA"/>
    <w:rsid w:val="00E56F0A"/>
    <w:rsid w:val="00E629BB"/>
    <w:rsid w:val="00E62A2D"/>
    <w:rsid w:val="00E62BE1"/>
    <w:rsid w:val="00E650CB"/>
    <w:rsid w:val="00E66A21"/>
    <w:rsid w:val="00E70102"/>
    <w:rsid w:val="00E70A95"/>
    <w:rsid w:val="00E70DDE"/>
    <w:rsid w:val="00E71237"/>
    <w:rsid w:val="00E712CD"/>
    <w:rsid w:val="00E7177F"/>
    <w:rsid w:val="00E73A45"/>
    <w:rsid w:val="00E73CAF"/>
    <w:rsid w:val="00E7433F"/>
    <w:rsid w:val="00E749B5"/>
    <w:rsid w:val="00E74DD5"/>
    <w:rsid w:val="00E76782"/>
    <w:rsid w:val="00E77393"/>
    <w:rsid w:val="00E7762D"/>
    <w:rsid w:val="00E81754"/>
    <w:rsid w:val="00E82629"/>
    <w:rsid w:val="00E8331A"/>
    <w:rsid w:val="00E852A0"/>
    <w:rsid w:val="00E865BD"/>
    <w:rsid w:val="00E870E1"/>
    <w:rsid w:val="00E87DF1"/>
    <w:rsid w:val="00E91C39"/>
    <w:rsid w:val="00E93534"/>
    <w:rsid w:val="00E95B50"/>
    <w:rsid w:val="00E95BFB"/>
    <w:rsid w:val="00EA0DDF"/>
    <w:rsid w:val="00EA25DC"/>
    <w:rsid w:val="00EA3934"/>
    <w:rsid w:val="00EA3B73"/>
    <w:rsid w:val="00EA4C8E"/>
    <w:rsid w:val="00EA4D81"/>
    <w:rsid w:val="00EA55C9"/>
    <w:rsid w:val="00EA62B5"/>
    <w:rsid w:val="00EA69B6"/>
    <w:rsid w:val="00EA77F9"/>
    <w:rsid w:val="00EB1E2B"/>
    <w:rsid w:val="00EB21E2"/>
    <w:rsid w:val="00EB50F9"/>
    <w:rsid w:val="00EB5727"/>
    <w:rsid w:val="00EB6466"/>
    <w:rsid w:val="00EC0A25"/>
    <w:rsid w:val="00EC18E7"/>
    <w:rsid w:val="00EC2464"/>
    <w:rsid w:val="00EC250C"/>
    <w:rsid w:val="00EC2635"/>
    <w:rsid w:val="00EC2BAD"/>
    <w:rsid w:val="00EC31A7"/>
    <w:rsid w:val="00EC6A5E"/>
    <w:rsid w:val="00EC6E49"/>
    <w:rsid w:val="00ED107B"/>
    <w:rsid w:val="00ED7B05"/>
    <w:rsid w:val="00EE29AC"/>
    <w:rsid w:val="00EE5F7A"/>
    <w:rsid w:val="00EE68A8"/>
    <w:rsid w:val="00EF13A5"/>
    <w:rsid w:val="00EF1801"/>
    <w:rsid w:val="00EF2F32"/>
    <w:rsid w:val="00EF5371"/>
    <w:rsid w:val="00F00D30"/>
    <w:rsid w:val="00F0104F"/>
    <w:rsid w:val="00F01458"/>
    <w:rsid w:val="00F06BAA"/>
    <w:rsid w:val="00F070FA"/>
    <w:rsid w:val="00F078D1"/>
    <w:rsid w:val="00F1345E"/>
    <w:rsid w:val="00F138F4"/>
    <w:rsid w:val="00F13A46"/>
    <w:rsid w:val="00F1465E"/>
    <w:rsid w:val="00F15F56"/>
    <w:rsid w:val="00F16383"/>
    <w:rsid w:val="00F2008A"/>
    <w:rsid w:val="00F2049B"/>
    <w:rsid w:val="00F20C8D"/>
    <w:rsid w:val="00F21890"/>
    <w:rsid w:val="00F2250A"/>
    <w:rsid w:val="00F24E30"/>
    <w:rsid w:val="00F30919"/>
    <w:rsid w:val="00F336F4"/>
    <w:rsid w:val="00F34B54"/>
    <w:rsid w:val="00F34BB6"/>
    <w:rsid w:val="00F350A6"/>
    <w:rsid w:val="00F353DE"/>
    <w:rsid w:val="00F3555F"/>
    <w:rsid w:val="00F35E94"/>
    <w:rsid w:val="00F37E16"/>
    <w:rsid w:val="00F40147"/>
    <w:rsid w:val="00F40756"/>
    <w:rsid w:val="00F4174F"/>
    <w:rsid w:val="00F4405A"/>
    <w:rsid w:val="00F44D5F"/>
    <w:rsid w:val="00F45B77"/>
    <w:rsid w:val="00F45F82"/>
    <w:rsid w:val="00F461C2"/>
    <w:rsid w:val="00F471B7"/>
    <w:rsid w:val="00F47581"/>
    <w:rsid w:val="00F505C8"/>
    <w:rsid w:val="00F51957"/>
    <w:rsid w:val="00F52B59"/>
    <w:rsid w:val="00F56A97"/>
    <w:rsid w:val="00F64FCE"/>
    <w:rsid w:val="00F65561"/>
    <w:rsid w:val="00F66A47"/>
    <w:rsid w:val="00F7074C"/>
    <w:rsid w:val="00F71F16"/>
    <w:rsid w:val="00F72D8E"/>
    <w:rsid w:val="00F73C55"/>
    <w:rsid w:val="00F74C1A"/>
    <w:rsid w:val="00F7617C"/>
    <w:rsid w:val="00F767AF"/>
    <w:rsid w:val="00F779E5"/>
    <w:rsid w:val="00F80C95"/>
    <w:rsid w:val="00F82BDE"/>
    <w:rsid w:val="00F8362D"/>
    <w:rsid w:val="00F84882"/>
    <w:rsid w:val="00F86391"/>
    <w:rsid w:val="00F90BC5"/>
    <w:rsid w:val="00F9107B"/>
    <w:rsid w:val="00F91A5E"/>
    <w:rsid w:val="00F922D6"/>
    <w:rsid w:val="00F92334"/>
    <w:rsid w:val="00F9381D"/>
    <w:rsid w:val="00F945FF"/>
    <w:rsid w:val="00F94D3E"/>
    <w:rsid w:val="00F96250"/>
    <w:rsid w:val="00F96D02"/>
    <w:rsid w:val="00F96EEF"/>
    <w:rsid w:val="00F97471"/>
    <w:rsid w:val="00FA0673"/>
    <w:rsid w:val="00FA25AE"/>
    <w:rsid w:val="00FA41AD"/>
    <w:rsid w:val="00FA5097"/>
    <w:rsid w:val="00FA75F4"/>
    <w:rsid w:val="00FB059D"/>
    <w:rsid w:val="00FB100E"/>
    <w:rsid w:val="00FB1437"/>
    <w:rsid w:val="00FB1B06"/>
    <w:rsid w:val="00FB3705"/>
    <w:rsid w:val="00FB5588"/>
    <w:rsid w:val="00FB7A72"/>
    <w:rsid w:val="00FC09E3"/>
    <w:rsid w:val="00FC1B7F"/>
    <w:rsid w:val="00FC1C40"/>
    <w:rsid w:val="00FC207A"/>
    <w:rsid w:val="00FC4326"/>
    <w:rsid w:val="00FC4B9F"/>
    <w:rsid w:val="00FC7854"/>
    <w:rsid w:val="00FD2646"/>
    <w:rsid w:val="00FD2E0F"/>
    <w:rsid w:val="00FD30D5"/>
    <w:rsid w:val="00FD501C"/>
    <w:rsid w:val="00FD66D2"/>
    <w:rsid w:val="00FD737D"/>
    <w:rsid w:val="00FD799E"/>
    <w:rsid w:val="00FE3E9B"/>
    <w:rsid w:val="00FE4A23"/>
    <w:rsid w:val="00FE717B"/>
    <w:rsid w:val="00FE7DF0"/>
    <w:rsid w:val="00FF1B7A"/>
    <w:rsid w:val="00FF576C"/>
    <w:rsid w:val="00FF5F2D"/>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2A6C"/>
  <w15:chartTrackingRefBased/>
  <w15:docId w15:val="{9DD0BF5C-5270-4970-B53C-2336ADB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F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252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3A16"/>
    <w:pPr>
      <w:keepNext/>
      <w:snapToGrid w:val="0"/>
      <w:outlineLvl w:val="1"/>
    </w:pPr>
    <w:rPr>
      <w:rFonts w:eastAsiaTheme="minorHAnsi"/>
    </w:rPr>
  </w:style>
  <w:style w:type="paragraph" w:styleId="Heading5">
    <w:name w:val="heading 5"/>
    <w:basedOn w:val="Normal"/>
    <w:next w:val="Normal"/>
    <w:link w:val="Heading5Char"/>
    <w:uiPriority w:val="9"/>
    <w:unhideWhenUsed/>
    <w:qFormat/>
    <w:rsid w:val="00B664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46ED7"/>
    <w:rPr>
      <w:rFonts w:ascii="Calibri" w:hAnsi="Calibri"/>
      <w:szCs w:val="21"/>
    </w:rPr>
  </w:style>
  <w:style w:type="character" w:customStyle="1" w:styleId="Heading2Char">
    <w:name w:val="Heading 2 Char"/>
    <w:basedOn w:val="DefaultParagraphFont"/>
    <w:link w:val="Heading2"/>
    <w:uiPriority w:val="9"/>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458A4"/>
    <w:rPr>
      <w:rFonts w:ascii="Aptos" w:eastAsia="Aptos" w:hAnsi="Aptos" w:cs="Aptos"/>
      <w:sz w:val="20"/>
      <w:szCs w:val="20"/>
    </w:rPr>
  </w:style>
  <w:style w:type="character" w:customStyle="1" w:styleId="FootnoteTextChar">
    <w:name w:val="Footnote Text Char"/>
    <w:basedOn w:val="DefaultParagraphFont"/>
    <w:link w:val="FootnoteText"/>
    <w:uiPriority w:val="99"/>
    <w:semiHidden/>
    <w:rsid w:val="00C458A4"/>
    <w:rPr>
      <w:rFonts w:ascii="Aptos" w:eastAsia="Aptos" w:hAnsi="Aptos" w:cs="Aptos"/>
      <w:sz w:val="20"/>
      <w:szCs w:val="20"/>
    </w:rPr>
  </w:style>
  <w:style w:type="character" w:styleId="FootnoteReference">
    <w:name w:val="footnote reference"/>
    <w:basedOn w:val="DefaultParagraphFont"/>
    <w:uiPriority w:val="99"/>
    <w:semiHidden/>
    <w:unhideWhenUsed/>
    <w:rsid w:val="00C458A4"/>
    <w:rPr>
      <w:vertAlign w:val="superscript"/>
    </w:rPr>
  </w:style>
  <w:style w:type="paragraph" w:styleId="NoSpacing">
    <w:name w:val="No Spacing"/>
    <w:basedOn w:val="Normal"/>
    <w:uiPriority w:val="1"/>
    <w:qFormat/>
    <w:rsid w:val="00C43E2D"/>
    <w:rPr>
      <w:rFonts w:ascii="Calibri" w:eastAsiaTheme="minorHAnsi" w:hAnsi="Calibri" w:cs="Calibri"/>
      <w:sz w:val="22"/>
      <w:szCs w:val="22"/>
    </w:rPr>
  </w:style>
  <w:style w:type="character" w:customStyle="1" w:styleId="Heading1Char">
    <w:name w:val="Heading 1 Char"/>
    <w:basedOn w:val="DefaultParagraphFont"/>
    <w:link w:val="Heading1"/>
    <w:uiPriority w:val="9"/>
    <w:rsid w:val="00B2525B"/>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BB4D46"/>
    <w:pPr>
      <w:jc w:val="center"/>
    </w:pPr>
    <w:rPr>
      <w:rFonts w:ascii="Arial" w:hAnsi="Arial" w:cs="Arial"/>
      <w:b/>
      <w:bCs/>
      <w:szCs w:val="20"/>
    </w:rPr>
  </w:style>
  <w:style w:type="character" w:customStyle="1" w:styleId="TitleChar">
    <w:name w:val="Title Char"/>
    <w:basedOn w:val="DefaultParagraphFont"/>
    <w:link w:val="Title"/>
    <w:rsid w:val="00BB4D46"/>
    <w:rPr>
      <w:rFonts w:ascii="Arial" w:eastAsia="Times New Roman" w:hAnsi="Arial" w:cs="Arial"/>
      <w:b/>
      <w:bCs/>
      <w:sz w:val="24"/>
      <w:szCs w:val="20"/>
    </w:rPr>
  </w:style>
  <w:style w:type="character" w:customStyle="1" w:styleId="hgkelc">
    <w:name w:val="hgkelc"/>
    <w:basedOn w:val="DefaultParagraphFont"/>
    <w:rsid w:val="00AE4E2F"/>
  </w:style>
  <w:style w:type="character" w:styleId="Emphasis">
    <w:name w:val="Emphasis"/>
    <w:basedOn w:val="DefaultParagraphFont"/>
    <w:uiPriority w:val="20"/>
    <w:qFormat/>
    <w:rsid w:val="00DE54DE"/>
    <w:rPr>
      <w:i/>
      <w:iCs/>
    </w:rPr>
  </w:style>
  <w:style w:type="character" w:customStyle="1" w:styleId="Heading5Char">
    <w:name w:val="Heading 5 Char"/>
    <w:basedOn w:val="DefaultParagraphFont"/>
    <w:link w:val="Heading5"/>
    <w:uiPriority w:val="9"/>
    <w:rsid w:val="00B66422"/>
    <w:rPr>
      <w:rFonts w:asciiTheme="majorHAnsi" w:eastAsiaTheme="majorEastAsia" w:hAnsiTheme="majorHAnsi" w:cstheme="majorBidi"/>
      <w:color w:val="2F5496" w:themeColor="accent1" w:themeShade="BF"/>
      <w:sz w:val="24"/>
      <w:szCs w:val="24"/>
    </w:rPr>
  </w:style>
  <w:style w:type="paragraph" w:styleId="NormalWeb">
    <w:name w:val="Normal (Web)"/>
    <w:basedOn w:val="Normal"/>
    <w:uiPriority w:val="99"/>
    <w:unhideWhenUsed/>
    <w:rsid w:val="00511B07"/>
    <w:pPr>
      <w:spacing w:before="100" w:beforeAutospacing="1" w:after="100" w:afterAutospacing="1"/>
    </w:pPr>
  </w:style>
  <w:style w:type="character" w:styleId="Strong">
    <w:name w:val="Strong"/>
    <w:basedOn w:val="DefaultParagraphFont"/>
    <w:uiPriority w:val="22"/>
    <w:qFormat/>
    <w:rsid w:val="00511B07"/>
    <w:rPr>
      <w:b/>
      <w:bCs/>
    </w:rPr>
  </w:style>
  <w:style w:type="table" w:styleId="TableGrid">
    <w:name w:val="Table Grid"/>
    <w:basedOn w:val="TableNormal"/>
    <w:uiPriority w:val="59"/>
    <w:rsid w:val="0044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BF23E2"/>
    <w:pPr>
      <w:spacing w:before="100" w:beforeAutospacing="1" w:after="100" w:afterAutospacing="1"/>
    </w:pPr>
  </w:style>
  <w:style w:type="character" w:customStyle="1" w:styleId="whitespace-normal">
    <w:name w:val="whitespace-normal"/>
    <w:basedOn w:val="DefaultParagraphFont"/>
    <w:rsid w:val="000A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612">
      <w:bodyDiv w:val="1"/>
      <w:marLeft w:val="0"/>
      <w:marRight w:val="0"/>
      <w:marTop w:val="0"/>
      <w:marBottom w:val="0"/>
      <w:divBdr>
        <w:top w:val="none" w:sz="0" w:space="0" w:color="auto"/>
        <w:left w:val="none" w:sz="0" w:space="0" w:color="auto"/>
        <w:bottom w:val="none" w:sz="0" w:space="0" w:color="auto"/>
        <w:right w:val="none" w:sz="0" w:space="0" w:color="auto"/>
      </w:divBdr>
    </w:div>
    <w:div w:id="31273424">
      <w:bodyDiv w:val="1"/>
      <w:marLeft w:val="0"/>
      <w:marRight w:val="0"/>
      <w:marTop w:val="0"/>
      <w:marBottom w:val="0"/>
      <w:divBdr>
        <w:top w:val="none" w:sz="0" w:space="0" w:color="auto"/>
        <w:left w:val="none" w:sz="0" w:space="0" w:color="auto"/>
        <w:bottom w:val="none" w:sz="0" w:space="0" w:color="auto"/>
        <w:right w:val="none" w:sz="0" w:space="0" w:color="auto"/>
      </w:divBdr>
    </w:div>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76949310">
      <w:bodyDiv w:val="1"/>
      <w:marLeft w:val="0"/>
      <w:marRight w:val="0"/>
      <w:marTop w:val="0"/>
      <w:marBottom w:val="0"/>
      <w:divBdr>
        <w:top w:val="none" w:sz="0" w:space="0" w:color="auto"/>
        <w:left w:val="none" w:sz="0" w:space="0" w:color="auto"/>
        <w:bottom w:val="none" w:sz="0" w:space="0" w:color="auto"/>
        <w:right w:val="none" w:sz="0" w:space="0" w:color="auto"/>
      </w:divBdr>
    </w:div>
    <w:div w:id="88822035">
      <w:bodyDiv w:val="1"/>
      <w:marLeft w:val="0"/>
      <w:marRight w:val="0"/>
      <w:marTop w:val="0"/>
      <w:marBottom w:val="0"/>
      <w:divBdr>
        <w:top w:val="none" w:sz="0" w:space="0" w:color="auto"/>
        <w:left w:val="none" w:sz="0" w:space="0" w:color="auto"/>
        <w:bottom w:val="none" w:sz="0" w:space="0" w:color="auto"/>
        <w:right w:val="none" w:sz="0" w:space="0" w:color="auto"/>
      </w:divBdr>
    </w:div>
    <w:div w:id="101271058">
      <w:bodyDiv w:val="1"/>
      <w:marLeft w:val="0"/>
      <w:marRight w:val="0"/>
      <w:marTop w:val="0"/>
      <w:marBottom w:val="0"/>
      <w:divBdr>
        <w:top w:val="none" w:sz="0" w:space="0" w:color="auto"/>
        <w:left w:val="none" w:sz="0" w:space="0" w:color="auto"/>
        <w:bottom w:val="none" w:sz="0" w:space="0" w:color="auto"/>
        <w:right w:val="none" w:sz="0" w:space="0" w:color="auto"/>
      </w:divBdr>
    </w:div>
    <w:div w:id="111286365">
      <w:bodyDiv w:val="1"/>
      <w:marLeft w:val="0"/>
      <w:marRight w:val="0"/>
      <w:marTop w:val="0"/>
      <w:marBottom w:val="0"/>
      <w:divBdr>
        <w:top w:val="none" w:sz="0" w:space="0" w:color="auto"/>
        <w:left w:val="none" w:sz="0" w:space="0" w:color="auto"/>
        <w:bottom w:val="none" w:sz="0" w:space="0" w:color="auto"/>
        <w:right w:val="none" w:sz="0" w:space="0" w:color="auto"/>
      </w:divBdr>
    </w:div>
    <w:div w:id="143396660">
      <w:bodyDiv w:val="1"/>
      <w:marLeft w:val="0"/>
      <w:marRight w:val="0"/>
      <w:marTop w:val="0"/>
      <w:marBottom w:val="0"/>
      <w:divBdr>
        <w:top w:val="none" w:sz="0" w:space="0" w:color="auto"/>
        <w:left w:val="none" w:sz="0" w:space="0" w:color="auto"/>
        <w:bottom w:val="none" w:sz="0" w:space="0" w:color="auto"/>
        <w:right w:val="none" w:sz="0" w:space="0" w:color="auto"/>
      </w:divBdr>
    </w:div>
    <w:div w:id="176506698">
      <w:bodyDiv w:val="1"/>
      <w:marLeft w:val="0"/>
      <w:marRight w:val="0"/>
      <w:marTop w:val="0"/>
      <w:marBottom w:val="0"/>
      <w:divBdr>
        <w:top w:val="none" w:sz="0" w:space="0" w:color="auto"/>
        <w:left w:val="none" w:sz="0" w:space="0" w:color="auto"/>
        <w:bottom w:val="none" w:sz="0" w:space="0" w:color="auto"/>
        <w:right w:val="none" w:sz="0" w:space="0" w:color="auto"/>
      </w:divBdr>
    </w:div>
    <w:div w:id="233399955">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57714156">
      <w:bodyDiv w:val="1"/>
      <w:marLeft w:val="0"/>
      <w:marRight w:val="0"/>
      <w:marTop w:val="0"/>
      <w:marBottom w:val="0"/>
      <w:divBdr>
        <w:top w:val="none" w:sz="0" w:space="0" w:color="auto"/>
        <w:left w:val="none" w:sz="0" w:space="0" w:color="auto"/>
        <w:bottom w:val="none" w:sz="0" w:space="0" w:color="auto"/>
        <w:right w:val="none" w:sz="0" w:space="0" w:color="auto"/>
      </w:divBdr>
    </w:div>
    <w:div w:id="266079109">
      <w:bodyDiv w:val="1"/>
      <w:marLeft w:val="0"/>
      <w:marRight w:val="0"/>
      <w:marTop w:val="0"/>
      <w:marBottom w:val="0"/>
      <w:divBdr>
        <w:top w:val="none" w:sz="0" w:space="0" w:color="auto"/>
        <w:left w:val="none" w:sz="0" w:space="0" w:color="auto"/>
        <w:bottom w:val="none" w:sz="0" w:space="0" w:color="auto"/>
        <w:right w:val="none" w:sz="0" w:space="0" w:color="auto"/>
      </w:divBdr>
    </w:div>
    <w:div w:id="273246976">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18773680">
      <w:bodyDiv w:val="1"/>
      <w:marLeft w:val="0"/>
      <w:marRight w:val="0"/>
      <w:marTop w:val="0"/>
      <w:marBottom w:val="0"/>
      <w:divBdr>
        <w:top w:val="none" w:sz="0" w:space="0" w:color="auto"/>
        <w:left w:val="none" w:sz="0" w:space="0" w:color="auto"/>
        <w:bottom w:val="none" w:sz="0" w:space="0" w:color="auto"/>
        <w:right w:val="none" w:sz="0" w:space="0" w:color="auto"/>
      </w:divBdr>
    </w:div>
    <w:div w:id="322054822">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383407689">
      <w:bodyDiv w:val="1"/>
      <w:marLeft w:val="0"/>
      <w:marRight w:val="0"/>
      <w:marTop w:val="0"/>
      <w:marBottom w:val="0"/>
      <w:divBdr>
        <w:top w:val="none" w:sz="0" w:space="0" w:color="auto"/>
        <w:left w:val="none" w:sz="0" w:space="0" w:color="auto"/>
        <w:bottom w:val="none" w:sz="0" w:space="0" w:color="auto"/>
        <w:right w:val="none" w:sz="0" w:space="0" w:color="auto"/>
      </w:divBdr>
    </w:div>
    <w:div w:id="398016797">
      <w:bodyDiv w:val="1"/>
      <w:marLeft w:val="0"/>
      <w:marRight w:val="0"/>
      <w:marTop w:val="0"/>
      <w:marBottom w:val="0"/>
      <w:divBdr>
        <w:top w:val="none" w:sz="0" w:space="0" w:color="auto"/>
        <w:left w:val="none" w:sz="0" w:space="0" w:color="auto"/>
        <w:bottom w:val="none" w:sz="0" w:space="0" w:color="auto"/>
        <w:right w:val="none" w:sz="0" w:space="0" w:color="auto"/>
      </w:divBdr>
    </w:div>
    <w:div w:id="464661117">
      <w:bodyDiv w:val="1"/>
      <w:marLeft w:val="0"/>
      <w:marRight w:val="0"/>
      <w:marTop w:val="0"/>
      <w:marBottom w:val="0"/>
      <w:divBdr>
        <w:top w:val="none" w:sz="0" w:space="0" w:color="auto"/>
        <w:left w:val="none" w:sz="0" w:space="0" w:color="auto"/>
        <w:bottom w:val="none" w:sz="0" w:space="0" w:color="auto"/>
        <w:right w:val="none" w:sz="0" w:space="0" w:color="auto"/>
      </w:divBdr>
    </w:div>
    <w:div w:id="481309573">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445237">
      <w:bodyDiv w:val="1"/>
      <w:marLeft w:val="0"/>
      <w:marRight w:val="0"/>
      <w:marTop w:val="0"/>
      <w:marBottom w:val="0"/>
      <w:divBdr>
        <w:top w:val="none" w:sz="0" w:space="0" w:color="auto"/>
        <w:left w:val="none" w:sz="0" w:space="0" w:color="auto"/>
        <w:bottom w:val="none" w:sz="0" w:space="0" w:color="auto"/>
        <w:right w:val="none" w:sz="0" w:space="0" w:color="auto"/>
      </w:divBdr>
    </w:div>
    <w:div w:id="526260063">
      <w:bodyDiv w:val="1"/>
      <w:marLeft w:val="0"/>
      <w:marRight w:val="0"/>
      <w:marTop w:val="0"/>
      <w:marBottom w:val="0"/>
      <w:divBdr>
        <w:top w:val="none" w:sz="0" w:space="0" w:color="auto"/>
        <w:left w:val="none" w:sz="0" w:space="0" w:color="auto"/>
        <w:bottom w:val="none" w:sz="0" w:space="0" w:color="auto"/>
        <w:right w:val="none" w:sz="0" w:space="0" w:color="auto"/>
      </w:divBdr>
    </w:div>
    <w:div w:id="549538843">
      <w:bodyDiv w:val="1"/>
      <w:marLeft w:val="0"/>
      <w:marRight w:val="0"/>
      <w:marTop w:val="0"/>
      <w:marBottom w:val="0"/>
      <w:divBdr>
        <w:top w:val="none" w:sz="0" w:space="0" w:color="auto"/>
        <w:left w:val="none" w:sz="0" w:space="0" w:color="auto"/>
        <w:bottom w:val="none" w:sz="0" w:space="0" w:color="auto"/>
        <w:right w:val="none" w:sz="0" w:space="0" w:color="auto"/>
      </w:divBdr>
    </w:div>
    <w:div w:id="598173487">
      <w:bodyDiv w:val="1"/>
      <w:marLeft w:val="0"/>
      <w:marRight w:val="0"/>
      <w:marTop w:val="0"/>
      <w:marBottom w:val="0"/>
      <w:divBdr>
        <w:top w:val="none" w:sz="0" w:space="0" w:color="auto"/>
        <w:left w:val="none" w:sz="0" w:space="0" w:color="auto"/>
        <w:bottom w:val="none" w:sz="0" w:space="0" w:color="auto"/>
        <w:right w:val="none" w:sz="0" w:space="0" w:color="auto"/>
      </w:divBdr>
    </w:div>
    <w:div w:id="621883547">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57080063">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772094390">
      <w:bodyDiv w:val="1"/>
      <w:marLeft w:val="0"/>
      <w:marRight w:val="0"/>
      <w:marTop w:val="0"/>
      <w:marBottom w:val="0"/>
      <w:divBdr>
        <w:top w:val="none" w:sz="0" w:space="0" w:color="auto"/>
        <w:left w:val="none" w:sz="0" w:space="0" w:color="auto"/>
        <w:bottom w:val="none" w:sz="0" w:space="0" w:color="auto"/>
        <w:right w:val="none" w:sz="0" w:space="0" w:color="auto"/>
      </w:divBdr>
    </w:div>
    <w:div w:id="772820796">
      <w:bodyDiv w:val="1"/>
      <w:marLeft w:val="0"/>
      <w:marRight w:val="0"/>
      <w:marTop w:val="0"/>
      <w:marBottom w:val="0"/>
      <w:divBdr>
        <w:top w:val="none" w:sz="0" w:space="0" w:color="auto"/>
        <w:left w:val="none" w:sz="0" w:space="0" w:color="auto"/>
        <w:bottom w:val="none" w:sz="0" w:space="0" w:color="auto"/>
        <w:right w:val="none" w:sz="0" w:space="0" w:color="auto"/>
      </w:divBdr>
    </w:div>
    <w:div w:id="778987355">
      <w:bodyDiv w:val="1"/>
      <w:marLeft w:val="0"/>
      <w:marRight w:val="0"/>
      <w:marTop w:val="0"/>
      <w:marBottom w:val="0"/>
      <w:divBdr>
        <w:top w:val="none" w:sz="0" w:space="0" w:color="auto"/>
        <w:left w:val="none" w:sz="0" w:space="0" w:color="auto"/>
        <w:bottom w:val="none" w:sz="0" w:space="0" w:color="auto"/>
        <w:right w:val="none" w:sz="0" w:space="0" w:color="auto"/>
      </w:divBdr>
    </w:div>
    <w:div w:id="809251551">
      <w:bodyDiv w:val="1"/>
      <w:marLeft w:val="0"/>
      <w:marRight w:val="0"/>
      <w:marTop w:val="0"/>
      <w:marBottom w:val="0"/>
      <w:divBdr>
        <w:top w:val="none" w:sz="0" w:space="0" w:color="auto"/>
        <w:left w:val="none" w:sz="0" w:space="0" w:color="auto"/>
        <w:bottom w:val="none" w:sz="0" w:space="0" w:color="auto"/>
        <w:right w:val="none" w:sz="0" w:space="0" w:color="auto"/>
      </w:divBdr>
    </w:div>
    <w:div w:id="820577806">
      <w:bodyDiv w:val="1"/>
      <w:marLeft w:val="0"/>
      <w:marRight w:val="0"/>
      <w:marTop w:val="0"/>
      <w:marBottom w:val="0"/>
      <w:divBdr>
        <w:top w:val="none" w:sz="0" w:space="0" w:color="auto"/>
        <w:left w:val="none" w:sz="0" w:space="0" w:color="auto"/>
        <w:bottom w:val="none" w:sz="0" w:space="0" w:color="auto"/>
        <w:right w:val="none" w:sz="0" w:space="0" w:color="auto"/>
      </w:divBdr>
    </w:div>
    <w:div w:id="836572962">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852457922">
      <w:bodyDiv w:val="1"/>
      <w:marLeft w:val="0"/>
      <w:marRight w:val="0"/>
      <w:marTop w:val="0"/>
      <w:marBottom w:val="0"/>
      <w:divBdr>
        <w:top w:val="none" w:sz="0" w:space="0" w:color="auto"/>
        <w:left w:val="none" w:sz="0" w:space="0" w:color="auto"/>
        <w:bottom w:val="none" w:sz="0" w:space="0" w:color="auto"/>
        <w:right w:val="none" w:sz="0" w:space="0" w:color="auto"/>
      </w:divBdr>
    </w:div>
    <w:div w:id="888108086">
      <w:bodyDiv w:val="1"/>
      <w:marLeft w:val="0"/>
      <w:marRight w:val="0"/>
      <w:marTop w:val="0"/>
      <w:marBottom w:val="0"/>
      <w:divBdr>
        <w:top w:val="none" w:sz="0" w:space="0" w:color="auto"/>
        <w:left w:val="none" w:sz="0" w:space="0" w:color="auto"/>
        <w:bottom w:val="none" w:sz="0" w:space="0" w:color="auto"/>
        <w:right w:val="none" w:sz="0" w:space="0" w:color="auto"/>
      </w:divBdr>
    </w:div>
    <w:div w:id="889653118">
      <w:bodyDiv w:val="1"/>
      <w:marLeft w:val="0"/>
      <w:marRight w:val="0"/>
      <w:marTop w:val="0"/>
      <w:marBottom w:val="0"/>
      <w:divBdr>
        <w:top w:val="none" w:sz="0" w:space="0" w:color="auto"/>
        <w:left w:val="none" w:sz="0" w:space="0" w:color="auto"/>
        <w:bottom w:val="none" w:sz="0" w:space="0" w:color="auto"/>
        <w:right w:val="none" w:sz="0" w:space="0" w:color="auto"/>
      </w:divBdr>
    </w:div>
    <w:div w:id="892470896">
      <w:bodyDiv w:val="1"/>
      <w:marLeft w:val="0"/>
      <w:marRight w:val="0"/>
      <w:marTop w:val="0"/>
      <w:marBottom w:val="0"/>
      <w:divBdr>
        <w:top w:val="none" w:sz="0" w:space="0" w:color="auto"/>
        <w:left w:val="none" w:sz="0" w:space="0" w:color="auto"/>
        <w:bottom w:val="none" w:sz="0" w:space="0" w:color="auto"/>
        <w:right w:val="none" w:sz="0" w:space="0" w:color="auto"/>
      </w:divBdr>
    </w:div>
    <w:div w:id="894777897">
      <w:bodyDiv w:val="1"/>
      <w:marLeft w:val="0"/>
      <w:marRight w:val="0"/>
      <w:marTop w:val="0"/>
      <w:marBottom w:val="0"/>
      <w:divBdr>
        <w:top w:val="none" w:sz="0" w:space="0" w:color="auto"/>
        <w:left w:val="none" w:sz="0" w:space="0" w:color="auto"/>
        <w:bottom w:val="none" w:sz="0" w:space="0" w:color="auto"/>
        <w:right w:val="none" w:sz="0" w:space="0" w:color="auto"/>
      </w:divBdr>
    </w:div>
    <w:div w:id="905603576">
      <w:bodyDiv w:val="1"/>
      <w:marLeft w:val="0"/>
      <w:marRight w:val="0"/>
      <w:marTop w:val="0"/>
      <w:marBottom w:val="0"/>
      <w:divBdr>
        <w:top w:val="none" w:sz="0" w:space="0" w:color="auto"/>
        <w:left w:val="none" w:sz="0" w:space="0" w:color="auto"/>
        <w:bottom w:val="none" w:sz="0" w:space="0" w:color="auto"/>
        <w:right w:val="none" w:sz="0" w:space="0" w:color="auto"/>
      </w:divBdr>
      <w:divsChild>
        <w:div w:id="1330720079">
          <w:marLeft w:val="0"/>
          <w:marRight w:val="0"/>
          <w:marTop w:val="0"/>
          <w:marBottom w:val="0"/>
          <w:divBdr>
            <w:top w:val="none" w:sz="0" w:space="0" w:color="auto"/>
            <w:left w:val="none" w:sz="0" w:space="0" w:color="auto"/>
            <w:bottom w:val="none" w:sz="0" w:space="0" w:color="auto"/>
            <w:right w:val="none" w:sz="0" w:space="0" w:color="auto"/>
          </w:divBdr>
          <w:divsChild>
            <w:div w:id="983196751">
              <w:marLeft w:val="0"/>
              <w:marRight w:val="0"/>
              <w:marTop w:val="0"/>
              <w:marBottom w:val="0"/>
              <w:divBdr>
                <w:top w:val="none" w:sz="0" w:space="0" w:color="auto"/>
                <w:left w:val="none" w:sz="0" w:space="0" w:color="auto"/>
                <w:bottom w:val="none" w:sz="0" w:space="0" w:color="auto"/>
                <w:right w:val="none" w:sz="0" w:space="0" w:color="auto"/>
              </w:divBdr>
              <w:divsChild>
                <w:div w:id="1835342037">
                  <w:marLeft w:val="0"/>
                  <w:marRight w:val="0"/>
                  <w:marTop w:val="0"/>
                  <w:marBottom w:val="0"/>
                  <w:divBdr>
                    <w:top w:val="none" w:sz="0" w:space="0" w:color="auto"/>
                    <w:left w:val="none" w:sz="0" w:space="0" w:color="auto"/>
                    <w:bottom w:val="none" w:sz="0" w:space="0" w:color="auto"/>
                    <w:right w:val="none" w:sz="0" w:space="0" w:color="auto"/>
                  </w:divBdr>
                  <w:divsChild>
                    <w:div w:id="863641104">
                      <w:marLeft w:val="0"/>
                      <w:marRight w:val="0"/>
                      <w:marTop w:val="0"/>
                      <w:marBottom w:val="0"/>
                      <w:divBdr>
                        <w:top w:val="none" w:sz="0" w:space="0" w:color="auto"/>
                        <w:left w:val="none" w:sz="0" w:space="0" w:color="auto"/>
                        <w:bottom w:val="none" w:sz="0" w:space="0" w:color="auto"/>
                        <w:right w:val="none" w:sz="0" w:space="0" w:color="auto"/>
                      </w:divBdr>
                      <w:divsChild>
                        <w:div w:id="1436439015">
                          <w:marLeft w:val="0"/>
                          <w:marRight w:val="0"/>
                          <w:marTop w:val="0"/>
                          <w:marBottom w:val="0"/>
                          <w:divBdr>
                            <w:top w:val="none" w:sz="0" w:space="0" w:color="auto"/>
                            <w:left w:val="none" w:sz="0" w:space="0" w:color="auto"/>
                            <w:bottom w:val="none" w:sz="0" w:space="0" w:color="auto"/>
                            <w:right w:val="none" w:sz="0" w:space="0" w:color="auto"/>
                          </w:divBdr>
                          <w:divsChild>
                            <w:div w:id="2331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1538204">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993489943">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2026560">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157645316">
      <w:bodyDiv w:val="1"/>
      <w:marLeft w:val="0"/>
      <w:marRight w:val="0"/>
      <w:marTop w:val="0"/>
      <w:marBottom w:val="0"/>
      <w:divBdr>
        <w:top w:val="none" w:sz="0" w:space="0" w:color="auto"/>
        <w:left w:val="none" w:sz="0" w:space="0" w:color="auto"/>
        <w:bottom w:val="none" w:sz="0" w:space="0" w:color="auto"/>
        <w:right w:val="none" w:sz="0" w:space="0" w:color="auto"/>
      </w:divBdr>
    </w:div>
    <w:div w:id="1201017849">
      <w:bodyDiv w:val="1"/>
      <w:marLeft w:val="0"/>
      <w:marRight w:val="0"/>
      <w:marTop w:val="0"/>
      <w:marBottom w:val="0"/>
      <w:divBdr>
        <w:top w:val="none" w:sz="0" w:space="0" w:color="auto"/>
        <w:left w:val="none" w:sz="0" w:space="0" w:color="auto"/>
        <w:bottom w:val="none" w:sz="0" w:space="0" w:color="auto"/>
        <w:right w:val="none" w:sz="0" w:space="0" w:color="auto"/>
      </w:divBdr>
    </w:div>
    <w:div w:id="1207835320">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806482">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17758558">
      <w:bodyDiv w:val="1"/>
      <w:marLeft w:val="0"/>
      <w:marRight w:val="0"/>
      <w:marTop w:val="0"/>
      <w:marBottom w:val="0"/>
      <w:divBdr>
        <w:top w:val="none" w:sz="0" w:space="0" w:color="auto"/>
        <w:left w:val="none" w:sz="0" w:space="0" w:color="auto"/>
        <w:bottom w:val="none" w:sz="0" w:space="0" w:color="auto"/>
        <w:right w:val="none" w:sz="0" w:space="0" w:color="auto"/>
      </w:divBdr>
    </w:div>
    <w:div w:id="1319072176">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29938300">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60396949">
      <w:bodyDiv w:val="1"/>
      <w:marLeft w:val="0"/>
      <w:marRight w:val="0"/>
      <w:marTop w:val="0"/>
      <w:marBottom w:val="0"/>
      <w:divBdr>
        <w:top w:val="none" w:sz="0" w:space="0" w:color="auto"/>
        <w:left w:val="none" w:sz="0" w:space="0" w:color="auto"/>
        <w:bottom w:val="none" w:sz="0" w:space="0" w:color="auto"/>
        <w:right w:val="none" w:sz="0" w:space="0" w:color="auto"/>
      </w:divBdr>
    </w:div>
    <w:div w:id="1369455148">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477453914">
      <w:bodyDiv w:val="1"/>
      <w:marLeft w:val="0"/>
      <w:marRight w:val="0"/>
      <w:marTop w:val="0"/>
      <w:marBottom w:val="0"/>
      <w:divBdr>
        <w:top w:val="none" w:sz="0" w:space="0" w:color="auto"/>
        <w:left w:val="none" w:sz="0" w:space="0" w:color="auto"/>
        <w:bottom w:val="none" w:sz="0" w:space="0" w:color="auto"/>
        <w:right w:val="none" w:sz="0" w:space="0" w:color="auto"/>
      </w:divBdr>
    </w:div>
    <w:div w:id="1481993420">
      <w:bodyDiv w:val="1"/>
      <w:marLeft w:val="0"/>
      <w:marRight w:val="0"/>
      <w:marTop w:val="0"/>
      <w:marBottom w:val="0"/>
      <w:divBdr>
        <w:top w:val="none" w:sz="0" w:space="0" w:color="auto"/>
        <w:left w:val="none" w:sz="0" w:space="0" w:color="auto"/>
        <w:bottom w:val="none" w:sz="0" w:space="0" w:color="auto"/>
        <w:right w:val="none" w:sz="0" w:space="0" w:color="auto"/>
      </w:divBdr>
    </w:div>
    <w:div w:id="1533766741">
      <w:bodyDiv w:val="1"/>
      <w:marLeft w:val="0"/>
      <w:marRight w:val="0"/>
      <w:marTop w:val="0"/>
      <w:marBottom w:val="0"/>
      <w:divBdr>
        <w:top w:val="none" w:sz="0" w:space="0" w:color="auto"/>
        <w:left w:val="none" w:sz="0" w:space="0" w:color="auto"/>
        <w:bottom w:val="none" w:sz="0" w:space="0" w:color="auto"/>
        <w:right w:val="none" w:sz="0" w:space="0" w:color="auto"/>
      </w:divBdr>
    </w:div>
    <w:div w:id="1569655647">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22683724">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687292346">
      <w:bodyDiv w:val="1"/>
      <w:marLeft w:val="0"/>
      <w:marRight w:val="0"/>
      <w:marTop w:val="0"/>
      <w:marBottom w:val="0"/>
      <w:divBdr>
        <w:top w:val="none" w:sz="0" w:space="0" w:color="auto"/>
        <w:left w:val="none" w:sz="0" w:space="0" w:color="auto"/>
        <w:bottom w:val="none" w:sz="0" w:space="0" w:color="auto"/>
        <w:right w:val="none" w:sz="0" w:space="0" w:color="auto"/>
      </w:divBdr>
    </w:div>
    <w:div w:id="1711876400">
      <w:bodyDiv w:val="1"/>
      <w:marLeft w:val="0"/>
      <w:marRight w:val="0"/>
      <w:marTop w:val="0"/>
      <w:marBottom w:val="0"/>
      <w:divBdr>
        <w:top w:val="none" w:sz="0" w:space="0" w:color="auto"/>
        <w:left w:val="none" w:sz="0" w:space="0" w:color="auto"/>
        <w:bottom w:val="none" w:sz="0" w:space="0" w:color="auto"/>
        <w:right w:val="none" w:sz="0" w:space="0" w:color="auto"/>
      </w:divBdr>
    </w:div>
    <w:div w:id="1740977306">
      <w:bodyDiv w:val="1"/>
      <w:marLeft w:val="0"/>
      <w:marRight w:val="0"/>
      <w:marTop w:val="0"/>
      <w:marBottom w:val="0"/>
      <w:divBdr>
        <w:top w:val="none" w:sz="0" w:space="0" w:color="auto"/>
        <w:left w:val="none" w:sz="0" w:space="0" w:color="auto"/>
        <w:bottom w:val="none" w:sz="0" w:space="0" w:color="auto"/>
        <w:right w:val="none" w:sz="0" w:space="0" w:color="auto"/>
      </w:divBdr>
    </w:div>
    <w:div w:id="1750495262">
      <w:bodyDiv w:val="1"/>
      <w:marLeft w:val="0"/>
      <w:marRight w:val="0"/>
      <w:marTop w:val="0"/>
      <w:marBottom w:val="0"/>
      <w:divBdr>
        <w:top w:val="none" w:sz="0" w:space="0" w:color="auto"/>
        <w:left w:val="none" w:sz="0" w:space="0" w:color="auto"/>
        <w:bottom w:val="none" w:sz="0" w:space="0" w:color="auto"/>
        <w:right w:val="none" w:sz="0" w:space="0" w:color="auto"/>
      </w:divBdr>
    </w:div>
    <w:div w:id="1764649510">
      <w:bodyDiv w:val="1"/>
      <w:marLeft w:val="0"/>
      <w:marRight w:val="0"/>
      <w:marTop w:val="0"/>
      <w:marBottom w:val="0"/>
      <w:divBdr>
        <w:top w:val="none" w:sz="0" w:space="0" w:color="auto"/>
        <w:left w:val="none" w:sz="0" w:space="0" w:color="auto"/>
        <w:bottom w:val="none" w:sz="0" w:space="0" w:color="auto"/>
        <w:right w:val="none" w:sz="0" w:space="0" w:color="auto"/>
      </w:divBdr>
    </w:div>
    <w:div w:id="1772511104">
      <w:bodyDiv w:val="1"/>
      <w:marLeft w:val="0"/>
      <w:marRight w:val="0"/>
      <w:marTop w:val="0"/>
      <w:marBottom w:val="0"/>
      <w:divBdr>
        <w:top w:val="none" w:sz="0" w:space="0" w:color="auto"/>
        <w:left w:val="none" w:sz="0" w:space="0" w:color="auto"/>
        <w:bottom w:val="none" w:sz="0" w:space="0" w:color="auto"/>
        <w:right w:val="none" w:sz="0" w:space="0" w:color="auto"/>
      </w:divBdr>
    </w:div>
    <w:div w:id="1831604122">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1981423268">
      <w:bodyDiv w:val="1"/>
      <w:marLeft w:val="0"/>
      <w:marRight w:val="0"/>
      <w:marTop w:val="0"/>
      <w:marBottom w:val="0"/>
      <w:divBdr>
        <w:top w:val="none" w:sz="0" w:space="0" w:color="auto"/>
        <w:left w:val="none" w:sz="0" w:space="0" w:color="auto"/>
        <w:bottom w:val="none" w:sz="0" w:space="0" w:color="auto"/>
        <w:right w:val="none" w:sz="0" w:space="0" w:color="auto"/>
      </w:divBdr>
    </w:div>
    <w:div w:id="1998922190">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20960303">
      <w:bodyDiv w:val="1"/>
      <w:marLeft w:val="0"/>
      <w:marRight w:val="0"/>
      <w:marTop w:val="0"/>
      <w:marBottom w:val="0"/>
      <w:divBdr>
        <w:top w:val="none" w:sz="0" w:space="0" w:color="auto"/>
        <w:left w:val="none" w:sz="0" w:space="0" w:color="auto"/>
        <w:bottom w:val="none" w:sz="0" w:space="0" w:color="auto"/>
        <w:right w:val="none" w:sz="0" w:space="0" w:color="auto"/>
      </w:divBdr>
    </w:div>
    <w:div w:id="2022008963">
      <w:bodyDiv w:val="1"/>
      <w:marLeft w:val="0"/>
      <w:marRight w:val="0"/>
      <w:marTop w:val="0"/>
      <w:marBottom w:val="0"/>
      <w:divBdr>
        <w:top w:val="none" w:sz="0" w:space="0" w:color="auto"/>
        <w:left w:val="none" w:sz="0" w:space="0" w:color="auto"/>
        <w:bottom w:val="none" w:sz="0" w:space="0" w:color="auto"/>
        <w:right w:val="none" w:sz="0" w:space="0" w:color="auto"/>
      </w:divBdr>
    </w:div>
    <w:div w:id="2031954179">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2218204">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0736419">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emercounty.iowa.gov/government/resolutions_and_ordinanc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Jennifer Bremner</cp:lastModifiedBy>
  <cp:revision>2</cp:revision>
  <cp:lastPrinted>2026-03-02T16:45:00Z</cp:lastPrinted>
  <dcterms:created xsi:type="dcterms:W3CDTF">2026-05-26T13:27:00Z</dcterms:created>
  <dcterms:modified xsi:type="dcterms:W3CDTF">2026-05-26T13:27:00Z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945944267</vt:i4>
  </property>
</Properties>
</file>